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D4EC7C">
      <w:pPr>
        <w:spacing w:after="0"/>
        <w:jc w:val="center"/>
        <w:rPr>
          <w:rFonts w:ascii="方正小标宋简体" w:hAnsi="方正小标宋简体" w:eastAsia="方正小标宋简体" w:cs="方正小标宋简体"/>
          <w:b/>
          <w:bCs/>
          <w:sz w:val="56"/>
          <w:szCs w:val="56"/>
        </w:rPr>
      </w:pPr>
    </w:p>
    <w:p w14:paraId="568143E9">
      <w:pPr>
        <w:spacing w:after="0"/>
        <w:jc w:val="center"/>
        <w:rPr>
          <w:rFonts w:ascii="方正小标宋简体" w:hAnsi="方正小标宋简体" w:eastAsia="方正小标宋简体" w:cs="方正小标宋简体"/>
          <w:b/>
          <w:bCs/>
          <w:sz w:val="56"/>
          <w:szCs w:val="56"/>
        </w:rPr>
      </w:pPr>
    </w:p>
    <w:p w14:paraId="38172D05">
      <w:pPr>
        <w:spacing w:after="0"/>
        <w:jc w:val="center"/>
        <w:rPr>
          <w:rFonts w:ascii="方正小标宋简体" w:hAnsi="方正小标宋简体" w:eastAsia="方正小标宋简体" w:cs="方正小标宋简体"/>
          <w:b/>
          <w:bCs/>
          <w:sz w:val="56"/>
          <w:szCs w:val="56"/>
        </w:rPr>
      </w:pPr>
      <w:r>
        <w:rPr>
          <w:rFonts w:hint="eastAsia" w:ascii="方正小标宋简体" w:hAnsi="方正小标宋简体" w:eastAsia="方正小标宋简体" w:cs="方正小标宋简体"/>
          <w:b/>
          <w:bCs/>
          <w:sz w:val="56"/>
          <w:szCs w:val="56"/>
        </w:rPr>
        <w:t>兰州现代职业学院</w:t>
      </w:r>
    </w:p>
    <w:p w14:paraId="0BE27D69">
      <w:pPr>
        <w:spacing w:line="560" w:lineRule="exact"/>
        <w:jc w:val="both"/>
        <w:rPr>
          <w:rFonts w:hint="default" w:ascii="宋体" w:hAnsi="宋体" w:eastAsia="宋体" w:cs="宋体"/>
          <w:b/>
          <w:bCs/>
          <w:spacing w:val="-20"/>
          <w:sz w:val="40"/>
          <w:szCs w:val="40"/>
          <w:lang w:val="en-US" w:eastAsia="zh-CN"/>
        </w:rPr>
      </w:pPr>
    </w:p>
    <w:p w14:paraId="6C26D774">
      <w:pPr>
        <w:spacing w:line="560" w:lineRule="exact"/>
        <w:jc w:val="center"/>
        <w:rPr>
          <w:rFonts w:ascii="方正小标宋简体" w:hAnsi="方正小标宋简体" w:eastAsia="方正小标宋简体" w:cs="方正小标宋简体"/>
          <w:b/>
          <w:bCs/>
          <w:spacing w:val="-20"/>
          <w:sz w:val="40"/>
          <w:szCs w:val="40"/>
        </w:rPr>
      </w:pPr>
      <w:r>
        <w:rPr>
          <w:rFonts w:hint="eastAsia" w:ascii="宋体" w:hAnsi="宋体" w:eastAsia="宋体" w:cs="宋体"/>
          <w:b/>
          <w:bCs/>
          <w:spacing w:val="-20"/>
          <w:sz w:val="40"/>
          <w:szCs w:val="40"/>
        </w:rPr>
        <w:t>《现代物业管理》</w:t>
      </w:r>
      <w:r>
        <w:rPr>
          <w:rFonts w:hint="eastAsia" w:ascii="方正小标宋简体" w:hAnsi="方正小标宋简体" w:eastAsia="方正小标宋简体" w:cs="方正小标宋简体"/>
          <w:spacing w:val="-20"/>
          <w:sz w:val="40"/>
          <w:szCs w:val="40"/>
        </w:rPr>
        <w:t>专业人才培养方案</w:t>
      </w:r>
    </w:p>
    <w:p w14:paraId="292477A6">
      <w:pPr>
        <w:overflowPunct w:val="0"/>
        <w:adjustRightInd w:val="0"/>
        <w:snapToGrid w:val="0"/>
        <w:spacing w:after="0" w:line="480" w:lineRule="exact"/>
        <w:jc w:val="center"/>
        <w:rPr>
          <w:rFonts w:cs="黑体" w:asciiTheme="minorEastAsia" w:hAnsiTheme="minorEastAsia" w:eastAsiaTheme="minorEastAsia"/>
          <w:b/>
          <w:bCs/>
          <w:sz w:val="28"/>
          <w:szCs w:val="28"/>
        </w:rPr>
      </w:pPr>
      <w:r>
        <w:rPr>
          <w:rFonts w:hint="eastAsia" w:cs="黑体" w:asciiTheme="minorEastAsia" w:hAnsiTheme="minorEastAsia" w:eastAsiaTheme="minorEastAsia"/>
          <w:b/>
          <w:bCs/>
          <w:sz w:val="28"/>
          <w:szCs w:val="28"/>
        </w:rPr>
        <w:t>（202</w:t>
      </w:r>
      <w:r>
        <w:rPr>
          <w:rFonts w:hint="eastAsia" w:cs="黑体" w:asciiTheme="minorEastAsia" w:hAnsiTheme="minorEastAsia" w:eastAsiaTheme="minorEastAsia"/>
          <w:b/>
          <w:bCs/>
          <w:sz w:val="28"/>
          <w:szCs w:val="28"/>
          <w:lang w:val="en-US" w:eastAsia="zh-CN"/>
        </w:rPr>
        <w:t>5</w:t>
      </w:r>
      <w:r>
        <w:rPr>
          <w:rFonts w:hint="eastAsia" w:cs="黑体" w:asciiTheme="minorEastAsia" w:hAnsiTheme="minorEastAsia" w:eastAsiaTheme="minorEastAsia"/>
          <w:b/>
          <w:bCs/>
          <w:sz w:val="28"/>
          <w:szCs w:val="28"/>
        </w:rPr>
        <w:t>年修订）</w:t>
      </w:r>
    </w:p>
    <w:p w14:paraId="13C85F27">
      <w:pPr>
        <w:overflowPunct w:val="0"/>
        <w:adjustRightInd w:val="0"/>
        <w:snapToGrid w:val="0"/>
        <w:spacing w:after="0" w:line="480" w:lineRule="exact"/>
        <w:rPr>
          <w:rFonts w:cs="黑体" w:asciiTheme="minorEastAsia" w:hAnsiTheme="minorEastAsia" w:eastAsiaTheme="minorEastAsia"/>
          <w:b/>
          <w:bCs/>
          <w:sz w:val="28"/>
          <w:szCs w:val="28"/>
        </w:rPr>
      </w:pPr>
    </w:p>
    <w:p w14:paraId="23764FA7">
      <w:pPr>
        <w:overflowPunct w:val="0"/>
        <w:adjustRightInd w:val="0"/>
        <w:snapToGrid w:val="0"/>
        <w:spacing w:after="0" w:line="480" w:lineRule="exact"/>
        <w:rPr>
          <w:rFonts w:cs="黑体" w:asciiTheme="minorEastAsia" w:hAnsiTheme="minorEastAsia" w:eastAsiaTheme="minorEastAsia"/>
          <w:b/>
          <w:bCs/>
          <w:sz w:val="28"/>
          <w:szCs w:val="28"/>
        </w:rPr>
      </w:pPr>
    </w:p>
    <w:p w14:paraId="08F708F4">
      <w:pPr>
        <w:overflowPunct w:val="0"/>
        <w:adjustRightInd w:val="0"/>
        <w:snapToGrid w:val="0"/>
        <w:spacing w:after="0" w:line="480" w:lineRule="exact"/>
        <w:ind w:firstLine="562" w:firstLineChars="200"/>
        <w:rPr>
          <w:rFonts w:cs="黑体" w:asciiTheme="minorEastAsia" w:hAnsiTheme="minorEastAsia" w:eastAsiaTheme="minorEastAsia"/>
          <w:b/>
          <w:bCs/>
          <w:sz w:val="28"/>
          <w:szCs w:val="28"/>
        </w:rPr>
      </w:pPr>
    </w:p>
    <w:p w14:paraId="081F2B72">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学院名称（盖章）：兰州现代职业学院</w:t>
      </w:r>
    </w:p>
    <w:p w14:paraId="2ED26DBC">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层    次：</w:t>
      </w:r>
      <w:r>
        <w:rPr>
          <w:rFonts w:hint="eastAsia" w:cs="宋体" w:asciiTheme="majorEastAsia" w:hAnsiTheme="majorEastAsia"/>
          <w:sz w:val="32"/>
          <w:szCs w:val="32"/>
        </w:rPr>
        <w:t>高职</w:t>
      </w:r>
    </w:p>
    <w:p w14:paraId="59C89D69">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专业名称：现代物业管理</w:t>
      </w:r>
    </w:p>
    <w:p w14:paraId="004BB65E">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专业代码：440703</w:t>
      </w:r>
    </w:p>
    <w:p w14:paraId="2D6292A8">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sz w:val="32"/>
          <w:szCs w:val="32"/>
          <w:lang w:val="en-US" w:eastAsia="zh-CN"/>
        </w:rPr>
      </w:pPr>
      <w:r>
        <w:rPr>
          <w:rFonts w:hint="eastAsia" w:asciiTheme="majorEastAsia" w:hAnsiTheme="majorEastAsia"/>
          <w:sz w:val="32"/>
          <w:szCs w:val="32"/>
        </w:rPr>
        <w:t>修业年限：</w:t>
      </w:r>
      <w:r>
        <w:rPr>
          <w:rFonts w:hint="eastAsia" w:asciiTheme="majorEastAsia" w:hAnsiTheme="majorEastAsia"/>
          <w:sz w:val="32"/>
          <w:szCs w:val="32"/>
          <w:lang w:val="en-US" w:eastAsia="zh-CN"/>
        </w:rPr>
        <w:t>三</w:t>
      </w:r>
      <w:r>
        <w:rPr>
          <w:rFonts w:hint="eastAsia" w:asciiTheme="majorEastAsia" w:hAnsiTheme="majorEastAsia"/>
          <w:sz w:val="32"/>
          <w:szCs w:val="32"/>
        </w:rPr>
        <w:t>年</w:t>
      </w:r>
    </w:p>
    <w:p w14:paraId="7501E592">
      <w:pPr>
        <w:keepNext w:val="0"/>
        <w:keepLines w:val="0"/>
        <w:pageBreakBefore w:val="0"/>
        <w:widowControl/>
        <w:kinsoku/>
        <w:wordWrap/>
        <w:overflowPunct/>
        <w:topLinePunct w:val="0"/>
        <w:autoSpaceDE/>
        <w:autoSpaceDN/>
        <w:bidi w:val="0"/>
        <w:adjustRightInd/>
        <w:snapToGrid/>
        <w:spacing w:line="560" w:lineRule="exact"/>
        <w:ind w:firstLine="1280" w:firstLineChars="400"/>
        <w:textAlignment w:val="auto"/>
        <w:rPr>
          <w:rFonts w:hint="eastAsia" w:ascii="方正小标宋简体" w:hAnsi="方正小标宋简体" w:eastAsia="方正小标宋简体" w:cs="方正小标宋简体"/>
          <w:sz w:val="32"/>
          <w:szCs w:val="32"/>
        </w:rPr>
      </w:pPr>
    </w:p>
    <w:p w14:paraId="772CB324">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lang w:val="en-US" w:eastAsia="zh-CN"/>
        </w:rPr>
      </w:pPr>
      <w:r>
        <w:rPr>
          <w:rFonts w:hint="eastAsia" w:ascii="宋体" w:hAnsi="宋体" w:eastAsia="宋体" w:cs="宋体"/>
          <w:sz w:val="32"/>
          <w:szCs w:val="32"/>
        </w:rPr>
        <w:t>论证专家：</w:t>
      </w:r>
      <w:r>
        <w:rPr>
          <w:rFonts w:hint="eastAsia" w:ascii="宋体" w:hAnsi="宋体" w:eastAsia="宋体" w:cs="宋体"/>
          <w:sz w:val="32"/>
          <w:szCs w:val="32"/>
          <w:lang w:val="en-US" w:eastAsia="zh-CN"/>
        </w:rPr>
        <w:t>陈文养 石安太 高庆伟</w:t>
      </w:r>
    </w:p>
    <w:p w14:paraId="34DFB2B1">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审 核 人：</w:t>
      </w:r>
      <w:r>
        <w:rPr>
          <w:rFonts w:hint="eastAsia" w:ascii="宋体" w:hAnsi="宋体" w:eastAsia="宋体" w:cs="宋体"/>
          <w:sz w:val="32"/>
          <w:szCs w:val="32"/>
          <w:lang w:val="en-US" w:eastAsia="zh-CN"/>
        </w:rPr>
        <w:t>马振宇</w:t>
      </w:r>
      <w:r>
        <w:rPr>
          <w:rFonts w:hint="eastAsia" w:ascii="宋体" w:hAnsi="宋体" w:eastAsia="宋体" w:cs="宋体"/>
          <w:sz w:val="32"/>
          <w:szCs w:val="32"/>
        </w:rPr>
        <w:t xml:space="preserve">  </w:t>
      </w:r>
    </w:p>
    <w:p w14:paraId="4355A15F">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lang w:val="en-US" w:eastAsia="zh-CN"/>
        </w:rPr>
      </w:pPr>
      <w:r>
        <w:rPr>
          <w:rFonts w:hint="eastAsia" w:ascii="宋体" w:hAnsi="宋体" w:eastAsia="宋体" w:cs="宋体"/>
          <w:sz w:val="32"/>
          <w:szCs w:val="32"/>
        </w:rPr>
        <w:t>修 订 人：</w:t>
      </w:r>
      <w:r>
        <w:rPr>
          <w:rFonts w:hint="eastAsia" w:ascii="宋体" w:hAnsi="宋体" w:eastAsia="宋体" w:cs="宋体"/>
          <w:sz w:val="32"/>
          <w:szCs w:val="32"/>
          <w:lang w:val="en-US" w:eastAsia="zh-CN"/>
        </w:rPr>
        <w:t>史文博</w:t>
      </w:r>
    </w:p>
    <w:p w14:paraId="24A0B2A8">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修订时间：202</w:t>
      </w:r>
      <w:r>
        <w:rPr>
          <w:rFonts w:hint="eastAsia" w:ascii="宋体" w:hAnsi="宋体" w:eastAsia="宋体" w:cs="宋体"/>
          <w:sz w:val="32"/>
          <w:szCs w:val="32"/>
          <w:lang w:val="en-US" w:eastAsia="zh-CN"/>
        </w:rPr>
        <w:t>5</w:t>
      </w:r>
      <w:r>
        <w:rPr>
          <w:rFonts w:hint="eastAsia" w:ascii="宋体" w:hAnsi="宋体" w:eastAsia="宋体" w:cs="宋体"/>
          <w:sz w:val="32"/>
          <w:szCs w:val="32"/>
        </w:rPr>
        <w:t>年</w:t>
      </w:r>
      <w:r>
        <w:rPr>
          <w:rFonts w:hint="eastAsia" w:ascii="宋体" w:hAnsi="宋体" w:eastAsia="宋体" w:cs="宋体"/>
          <w:sz w:val="32"/>
          <w:szCs w:val="32"/>
          <w:lang w:val="en-US" w:eastAsia="zh-CN"/>
        </w:rPr>
        <w:t>5</w:t>
      </w:r>
      <w:r>
        <w:rPr>
          <w:rFonts w:hint="eastAsia" w:ascii="宋体" w:hAnsi="宋体" w:eastAsia="宋体" w:cs="宋体"/>
          <w:sz w:val="32"/>
          <w:szCs w:val="32"/>
        </w:rPr>
        <w:t>月</w:t>
      </w:r>
    </w:p>
    <w:p w14:paraId="3F8CEB17">
      <w:pPr>
        <w:spacing w:before="0" w:beforeLines="0" w:after="0" w:afterLines="0" w:line="240" w:lineRule="auto"/>
        <w:ind w:left="0" w:leftChars="0" w:right="0" w:rightChars="0" w:firstLine="0" w:firstLineChars="0"/>
        <w:jc w:val="center"/>
        <w:rPr>
          <w:rFonts w:ascii="宋体" w:hAnsi="宋体" w:eastAsia="宋体" w:cstheme="majorBidi"/>
          <w:sz w:val="21"/>
          <w:szCs w:val="22"/>
          <w:lang w:val="en-US" w:eastAsia="zh-CN" w:bidi="ar-SA"/>
        </w:rPr>
        <w:sectPr>
          <w:footerReference r:id="rId5" w:type="default"/>
          <w:pgSz w:w="11906" w:h="16838"/>
          <w:pgMar w:top="1440" w:right="1417" w:bottom="1440" w:left="1417" w:header="851" w:footer="992" w:gutter="0"/>
          <w:pgNumType w:fmt="decimal" w:start="1"/>
          <w:cols w:space="425" w:num="1"/>
          <w:docGrid w:type="lines" w:linePitch="312" w:charSpace="0"/>
        </w:sectPr>
      </w:pPr>
    </w:p>
    <w:sdt>
      <w:sdtPr>
        <w:rPr>
          <w:rFonts w:ascii="宋体" w:hAnsi="宋体" w:eastAsia="宋体" w:cstheme="majorBidi"/>
          <w:sz w:val="21"/>
          <w:szCs w:val="22"/>
          <w:lang w:val="en-US" w:eastAsia="zh-CN" w:bidi="ar-SA"/>
        </w:rPr>
        <w:id w:val="147480783"/>
        <w15:color w:val="DBDBDB"/>
        <w:docPartObj>
          <w:docPartGallery w:val="Table of Contents"/>
          <w:docPartUnique/>
        </w:docPartObj>
      </w:sdtPr>
      <w:sdtEndPr>
        <w:rPr>
          <w:rFonts w:ascii="宋体" w:hAnsi="宋体" w:eastAsia="宋体" w:cstheme="majorBidi"/>
          <w:sz w:val="21"/>
          <w:szCs w:val="22"/>
          <w:lang w:val="en-US" w:eastAsia="zh-CN" w:bidi="ar-SA"/>
        </w:rPr>
      </w:sdtEndPr>
      <w:sdtContent>
        <w:p w14:paraId="101B8058">
          <w:pPr>
            <w:spacing w:before="0" w:beforeLines="0" w:after="0" w:afterLines="0" w:line="240" w:lineRule="auto"/>
            <w:ind w:left="0" w:leftChars="0" w:right="0" w:rightChars="0" w:firstLine="0" w:firstLineChars="0"/>
            <w:jc w:val="center"/>
            <w:rPr>
              <w:b/>
              <w:bCs/>
            </w:rPr>
          </w:pPr>
          <w:bookmarkStart w:id="0" w:name="_Toc15951"/>
          <w:r>
            <w:rPr>
              <w:rFonts w:ascii="宋体" w:hAnsi="宋体" w:eastAsia="宋体"/>
              <w:b/>
              <w:bCs/>
              <w:sz w:val="32"/>
              <w:szCs w:val="32"/>
            </w:rPr>
            <w:t>目</w:t>
          </w:r>
          <w:r>
            <w:rPr>
              <w:rFonts w:hint="eastAsia" w:ascii="宋体" w:hAnsi="宋体" w:eastAsia="宋体"/>
              <w:b/>
              <w:bCs/>
              <w:sz w:val="32"/>
              <w:szCs w:val="32"/>
              <w:lang w:val="en-US" w:eastAsia="zh-CN"/>
            </w:rPr>
            <w:t xml:space="preserve">  </w:t>
          </w:r>
          <w:r>
            <w:rPr>
              <w:rFonts w:ascii="宋体" w:hAnsi="宋体" w:eastAsia="宋体"/>
              <w:b/>
              <w:bCs/>
              <w:sz w:val="32"/>
              <w:szCs w:val="32"/>
            </w:rPr>
            <w:t>录</w:t>
          </w:r>
        </w:p>
        <w:p w14:paraId="267EAD2A">
          <w:pPr>
            <w:pStyle w:val="61"/>
            <w:tabs>
              <w:tab w:val="right" w:leader="dot" w:pos="9072"/>
            </w:tabs>
            <w:rPr>
              <w:rFonts w:hint="eastAsia" w:asciiTheme="minorEastAsia" w:hAnsiTheme="minorEastAsia" w:eastAsiaTheme="minorEastAsia" w:cstheme="minorEastAsia"/>
              <w:b/>
              <w:bCs/>
              <w:sz w:val="22"/>
              <w:szCs w:val="22"/>
            </w:rPr>
          </w:pPr>
          <w:r>
            <w:fldChar w:fldCharType="begin"/>
          </w:r>
          <w:r>
            <w:instrText xml:space="preserve">TOC \o "1-3" \h \u </w:instrText>
          </w:r>
          <w:r>
            <w:fldChar w:fldCharType="separate"/>
          </w: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_Toc6062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一、专业描述</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_Toc6062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7E1C39D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_Toc22315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二</w:t>
          </w:r>
          <w:r>
            <w:rPr>
              <w:rFonts w:hint="eastAsia" w:asciiTheme="minorEastAsia" w:hAnsiTheme="minorEastAsia" w:eastAsiaTheme="minorEastAsia" w:cstheme="minorEastAsia"/>
              <w:b/>
              <w:bCs/>
              <w:sz w:val="22"/>
              <w:szCs w:val="22"/>
            </w:rPr>
            <w:t>、职业面向及职业岗位分析</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_Toc22315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601795E">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_Toc9438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三</w:t>
          </w:r>
          <w:r>
            <w:rPr>
              <w:rFonts w:hint="eastAsia" w:asciiTheme="minorEastAsia" w:hAnsiTheme="minorEastAsia" w:eastAsiaTheme="minorEastAsia" w:cstheme="minorEastAsia"/>
              <w:b/>
              <w:bCs/>
              <w:sz w:val="22"/>
              <w:szCs w:val="22"/>
            </w:rPr>
            <w:t>、培养目标</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_Toc9438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C9E30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left="0" w:leftChars="0" w:firstLine="0" w:firstLineChars="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_Toc19870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四、</w:t>
          </w:r>
          <w:r>
            <w:rPr>
              <w:rFonts w:hint="eastAsia" w:asciiTheme="minorEastAsia" w:hAnsiTheme="minorEastAsia" w:eastAsiaTheme="minorEastAsia" w:cstheme="minorEastAsia"/>
              <w:b/>
              <w:bCs/>
              <w:sz w:val="22"/>
              <w:szCs w:val="22"/>
            </w:rPr>
            <w:t>培养规格</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_Toc19870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2</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2F37B8B">
          <w:pPr>
            <w:pStyle w:val="61"/>
            <w:keepNext w:val="0"/>
            <w:keepLines w:val="0"/>
            <w:pageBreakBefore w:val="0"/>
            <w:widowControl/>
            <w:tabs>
              <w:tab w:val="right" w:leader="dot" w:pos="9072"/>
            </w:tabs>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_Toc9801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五、人才培养模式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3</w:t>
          </w:r>
          <w:r>
            <w:rPr>
              <w:rFonts w:hint="eastAsia" w:asciiTheme="minorEastAsia" w:hAnsiTheme="minorEastAsia" w:eastAsiaTheme="minorEastAsia" w:cstheme="minorEastAsia"/>
              <w:sz w:val="22"/>
              <w:szCs w:val="22"/>
            </w:rPr>
            <w:fldChar w:fldCharType="end"/>
          </w:r>
        </w:p>
        <w:p w14:paraId="289D7A6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_Toc7937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（一）人才培养模式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_Toc7937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8241C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_Toc15028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（二）课程体系结构</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_Toc15028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3C2CAB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_Toc2374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mallCaps w:val="0"/>
              <w:spacing w:val="0"/>
              <w:sz w:val="22"/>
              <w:szCs w:val="22"/>
              <w:lang w:val="en-US" w:eastAsia="zh-CN" w:bidi="ar-SA"/>
            </w:rPr>
            <w:t>（三）课程设置及要求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4</w:t>
          </w:r>
          <w:r>
            <w:rPr>
              <w:rFonts w:hint="eastAsia" w:asciiTheme="minorEastAsia" w:hAnsiTheme="minorEastAsia" w:eastAsiaTheme="minorEastAsia" w:cstheme="minorEastAsia"/>
              <w:sz w:val="22"/>
              <w:szCs w:val="22"/>
            </w:rPr>
            <w:fldChar w:fldCharType="end"/>
          </w:r>
        </w:p>
        <w:p w14:paraId="5088CD14">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_Toc21757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t>公共基础课程设置及要求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_Toc21757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A73A0D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_Toc13397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2.</w:t>
          </w:r>
          <w:r>
            <w:rPr>
              <w:rFonts w:hint="eastAsia" w:asciiTheme="minorEastAsia" w:hAnsiTheme="minorEastAsia" w:eastAsiaTheme="minorEastAsia" w:cstheme="minorEastAsia"/>
              <w:sz w:val="22"/>
              <w:szCs w:val="22"/>
            </w:rPr>
            <w:t>专业课程设置及要求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_Toc13397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7E2B3F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_Toc24133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3.</w:t>
          </w:r>
          <w:r>
            <w:rPr>
              <w:rFonts w:hint="eastAsia" w:asciiTheme="minorEastAsia" w:hAnsiTheme="minorEastAsia" w:eastAsiaTheme="minorEastAsia" w:cstheme="minorEastAsia"/>
              <w:sz w:val="22"/>
              <w:szCs w:val="22"/>
            </w:rPr>
            <w:t>素质拓展活动或项目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9</w:t>
          </w:r>
          <w:r>
            <w:rPr>
              <w:rFonts w:hint="eastAsia" w:asciiTheme="minorEastAsia" w:hAnsiTheme="minorEastAsia" w:eastAsiaTheme="minorEastAsia" w:cstheme="minorEastAsia"/>
              <w:sz w:val="22"/>
              <w:szCs w:val="22"/>
            </w:rPr>
            <w:fldChar w:fldCharType="end"/>
          </w:r>
        </w:p>
        <w:p w14:paraId="5199E6A2">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_Toc6716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4.</w:t>
          </w:r>
          <w:r>
            <w:rPr>
              <w:rFonts w:hint="eastAsia" w:asciiTheme="minorEastAsia" w:hAnsiTheme="minorEastAsia" w:eastAsiaTheme="minorEastAsia" w:cstheme="minorEastAsia"/>
              <w:sz w:val="22"/>
              <w:szCs w:val="22"/>
            </w:rPr>
            <w:t>专业实习实训项目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_Toc6716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C7D610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_Toc17395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六</w:t>
          </w:r>
          <w:r>
            <w:rPr>
              <w:rFonts w:hint="eastAsia" w:asciiTheme="minorEastAsia" w:hAnsiTheme="minorEastAsia" w:eastAsiaTheme="minorEastAsia" w:cstheme="minorEastAsia"/>
              <w:b/>
              <w:bCs w:val="0"/>
              <w:sz w:val="22"/>
              <w:szCs w:val="22"/>
            </w:rPr>
            <w:t>、教学进程总体安排</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_Toc17395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23CB32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_Toc19749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（一）全学程教学历程</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_Toc19749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41A7A0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_Toc253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（二）公共课、专业课设置及学时分配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_Toc253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36D6D4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_Toc23238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（三）理论课、实践课设置及学时分配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_Toc23238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B15459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_Toc16495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七</w:t>
          </w:r>
          <w:r>
            <w:rPr>
              <w:rFonts w:hint="eastAsia" w:asciiTheme="minorEastAsia" w:hAnsiTheme="minorEastAsia" w:eastAsiaTheme="minorEastAsia" w:cstheme="minorEastAsia"/>
              <w:b/>
              <w:bCs/>
              <w:sz w:val="22"/>
              <w:szCs w:val="22"/>
            </w:rPr>
            <w:t>、实施保障</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_Toc16495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3FF23770">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_Toc16783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（一）师资队伍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_Toc16783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6B2D8F0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_Toc29838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（二）团队建设</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_Toc29838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B6CA5D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_Toc15292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bidi="ar-SA"/>
            </w:rPr>
            <w:t>（三）教学设施</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_Toc15292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ED03217">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四</w:t>
          </w:r>
          <w:r>
            <w:rPr>
              <w:rFonts w:hint="eastAsia" w:asciiTheme="minorEastAsia" w:hAnsiTheme="minorEastAsia" w:eastAsiaTheme="minorEastAsia" w:cstheme="minorEastAsia"/>
              <w:bCs w:val="0"/>
              <w:sz w:val="22"/>
              <w:szCs w:val="22"/>
              <w:lang w:val="en-US" w:bidi="ar-SA"/>
            </w:rPr>
            <w:t>）教学资源</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005E33F">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_Toc13705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五</w:t>
          </w:r>
          <w:r>
            <w:rPr>
              <w:rFonts w:hint="eastAsia" w:asciiTheme="minorEastAsia" w:hAnsiTheme="minorEastAsia" w:eastAsiaTheme="minorEastAsia" w:cstheme="minorEastAsia"/>
              <w:bCs w:val="0"/>
              <w:sz w:val="22"/>
              <w:szCs w:val="22"/>
              <w:lang w:val="en-US" w:bidi="ar-SA"/>
            </w:rPr>
            <w:t>）教学方法</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_Toc13705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422105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w:t>
          </w:r>
          <w:r>
            <w:rPr>
              <w:rFonts w:hint="eastAsia" w:asciiTheme="minorEastAsia" w:hAnsiTheme="minorEastAsia" w:eastAsiaTheme="minorEastAsia" w:cstheme="minorEastAsia"/>
              <w:sz w:val="22"/>
              <w:szCs w:val="22"/>
              <w:lang w:val="en-US" w:eastAsia="zh-CN"/>
            </w:rPr>
            <w:t>六</w:t>
          </w:r>
          <w:r>
            <w:rPr>
              <w:rFonts w:hint="eastAsia" w:asciiTheme="minorEastAsia" w:hAnsiTheme="minorEastAsia" w:eastAsiaTheme="minorEastAsia" w:cstheme="minorEastAsia"/>
              <w:sz w:val="22"/>
              <w:szCs w:val="22"/>
            </w:rPr>
            <w:t>）学习评价</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AE248">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_Toc30394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sz w:val="22"/>
              <w:szCs w:val="22"/>
            </w:rPr>
            <w:t>（</w:t>
          </w:r>
          <w:r>
            <w:rPr>
              <w:rFonts w:hint="eastAsia" w:asciiTheme="minorEastAsia" w:hAnsiTheme="minorEastAsia" w:eastAsiaTheme="minorEastAsia" w:cstheme="minorEastAsia"/>
              <w:bCs/>
              <w:sz w:val="22"/>
              <w:szCs w:val="22"/>
              <w:lang w:val="en-US" w:eastAsia="zh-CN"/>
            </w:rPr>
            <w:t>七</w:t>
          </w:r>
          <w:r>
            <w:rPr>
              <w:rFonts w:hint="eastAsia" w:asciiTheme="minorEastAsia" w:hAnsiTheme="minorEastAsia" w:eastAsiaTheme="minorEastAsia" w:cstheme="minorEastAsia"/>
              <w:bCs/>
              <w:sz w:val="22"/>
              <w:szCs w:val="22"/>
            </w:rPr>
            <w:t>）质量管理</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lang w:val="en-US" w:eastAsia="zh-CN"/>
            </w:rPr>
            <w:t>7</w:t>
          </w:r>
        </w:p>
        <w:p w14:paraId="269B7208">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_Toc10140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八</w:t>
          </w:r>
          <w:r>
            <w:rPr>
              <w:rFonts w:hint="eastAsia" w:asciiTheme="minorEastAsia" w:hAnsiTheme="minorEastAsia" w:eastAsiaTheme="minorEastAsia" w:cstheme="minorEastAsia"/>
              <w:b/>
              <w:bCs w:val="0"/>
              <w:sz w:val="22"/>
              <w:szCs w:val="22"/>
            </w:rPr>
            <w:t>、毕业要求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_Toc10140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E9E8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_Toc10826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（一）学时学分及成绩要求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_Toc10826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C5BA482">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_Toc26709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（二）基础素养能力要求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_Toc26709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1ABDAF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_Toc6995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（三）职业能力要求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_Toc6995 \h </w:instrText>
          </w:r>
          <w:r>
            <w:rPr>
              <w:rFonts w:hint="eastAsia" w:asciiTheme="minorEastAsia" w:hAnsiTheme="minorEastAsia" w:eastAsiaTheme="minorEastAsia" w:cstheme="minorEastAsia"/>
              <w:sz w:val="22"/>
              <w:szCs w:val="22"/>
            </w:rPr>
            <w:fldChar w:fldCharType="separate"/>
          </w:r>
          <w:r>
            <w:rPr>
              <w:b/>
            </w:rPr>
            <w:t>错误！未定义书签。</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51D8E8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_Toc7412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（四）跨行业职业能力</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lang w:val="en-US" w:eastAsia="zh-CN"/>
            </w:rPr>
            <w:t>9</w:t>
          </w:r>
        </w:p>
        <w:p w14:paraId="4F8026B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eastAsiaTheme="minorEastAsia"/>
              <w:lang w:val="en-US" w:eastAsia="zh-CN"/>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_Toc26656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九</w:t>
          </w:r>
          <w:r>
            <w:rPr>
              <w:rFonts w:hint="eastAsia" w:asciiTheme="minorEastAsia" w:hAnsiTheme="minorEastAsia" w:eastAsiaTheme="minorEastAsia" w:cstheme="minorEastAsia"/>
              <w:b/>
              <w:bCs w:val="0"/>
              <w:sz w:val="22"/>
              <w:szCs w:val="22"/>
            </w:rPr>
            <w:t>、附录</w:t>
          </w:r>
          <w:r>
            <w:rPr>
              <w:rFonts w:hint="eastAsia" w:asciiTheme="minorEastAsia" w:hAnsiTheme="minorEastAsia" w:eastAsiaTheme="minorEastAsia" w:cstheme="minorEastAsia"/>
              <w:b/>
              <w:bCs w:val="0"/>
              <w:sz w:val="22"/>
              <w:szCs w:val="22"/>
              <w:lang w:eastAsia="zh-CN"/>
            </w:rPr>
            <w:t>：</w:t>
          </w:r>
          <w:r>
            <w:rPr>
              <w:rFonts w:hint="eastAsia" w:asciiTheme="minorEastAsia" w:hAnsiTheme="minorEastAsia" w:eastAsiaTheme="minorEastAsia" w:cstheme="minorEastAsia"/>
              <w:b/>
              <w:bCs w:val="0"/>
              <w:sz w:val="22"/>
              <w:szCs w:val="22"/>
            </w:rPr>
            <w:t>教学进程安排表</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lang w:val="en-US" w:eastAsia="zh-CN"/>
            </w:rPr>
            <w:t>9</w:t>
          </w:r>
        </w:p>
        <w:p w14:paraId="49182896">
          <w:pPr>
            <w:sectPr>
              <w:footerReference r:id="rId6" w:type="default"/>
              <w:pgSz w:w="11906" w:h="16838"/>
              <w:pgMar w:top="1440" w:right="1417" w:bottom="1440" w:left="1417" w:header="851" w:footer="992" w:gutter="0"/>
              <w:pgNumType w:fmt="decimal" w:start="1"/>
              <w:cols w:space="425" w:num="1"/>
              <w:docGrid w:type="lines" w:linePitch="312" w:charSpace="0"/>
            </w:sectPr>
          </w:pPr>
        </w:p>
        <w:p w14:paraId="2A7CA2CA">
          <w:pPr>
            <w:spacing w:after="0" w:line="240" w:lineRule="auto"/>
          </w:pPr>
          <w:r>
            <w:fldChar w:fldCharType="end"/>
          </w:r>
          <w:bookmarkStart w:id="1" w:name="_Toc5272"/>
        </w:p>
      </w:sdtContent>
    </w:sdt>
    <w:p w14:paraId="709F421A">
      <w:pPr>
        <w:spacing w:after="0" w:line="240" w:lineRule="auto"/>
        <w:jc w:val="center"/>
        <w:rPr>
          <w:rFonts w:ascii="黑体" w:hAnsi="黑体" w:eastAsia="黑体"/>
          <w:b/>
          <w:sz w:val="36"/>
          <w:szCs w:val="36"/>
        </w:rPr>
      </w:pPr>
      <w:r>
        <w:rPr>
          <w:rFonts w:hint="eastAsia" w:ascii="黑体" w:hAnsi="黑体" w:eastAsia="黑体"/>
          <w:b/>
          <w:sz w:val="36"/>
          <w:szCs w:val="36"/>
        </w:rPr>
        <w:t>现代物业管理专业</w:t>
      </w:r>
      <w:bookmarkStart w:id="2" w:name="_Toc8991"/>
      <w:bookmarkStart w:id="3" w:name="_Toc77884740"/>
      <w:bookmarkStart w:id="4" w:name="_Toc1895"/>
      <w:bookmarkStart w:id="5" w:name="_Toc30088"/>
      <w:r>
        <w:rPr>
          <w:rFonts w:hint="eastAsia" w:ascii="黑体" w:hAnsi="黑体" w:eastAsia="黑体"/>
          <w:b/>
          <w:sz w:val="36"/>
          <w:szCs w:val="36"/>
        </w:rPr>
        <w:t>人才培养方案</w:t>
      </w:r>
      <w:bookmarkEnd w:id="0"/>
      <w:bookmarkEnd w:id="1"/>
      <w:bookmarkEnd w:id="2"/>
      <w:bookmarkEnd w:id="3"/>
      <w:bookmarkEnd w:id="4"/>
      <w:bookmarkEnd w:id="5"/>
    </w:p>
    <w:p w14:paraId="5B882E37">
      <w:pPr>
        <w:pStyle w:val="2"/>
        <w:keepNext w:val="0"/>
        <w:keepLines w:val="0"/>
        <w:pageBreakBefore w:val="0"/>
        <w:widowControl/>
        <w:kinsoku/>
        <w:wordWrap/>
        <w:topLinePunct w:val="0"/>
        <w:autoSpaceDE/>
        <w:autoSpaceDN/>
        <w:bidi w:val="0"/>
        <w:snapToGrid w:val="0"/>
        <w:spacing w:before="0" w:after="0" w:line="440" w:lineRule="exact"/>
        <w:ind w:firstLine="580" w:firstLineChars="200"/>
        <w:jc w:val="both"/>
        <w:textAlignment w:val="auto"/>
        <w:rPr>
          <w:rFonts w:hint="default" w:eastAsiaTheme="majorEastAsia"/>
          <w:b/>
          <w:bCs/>
          <w:sz w:val="28"/>
          <w:szCs w:val="28"/>
          <w:lang w:val="en-US" w:eastAsia="zh-CN"/>
        </w:rPr>
      </w:pPr>
      <w:bookmarkStart w:id="6" w:name="_Toc6062"/>
      <w:bookmarkStart w:id="7" w:name="_Toc77884943"/>
      <w:bookmarkStart w:id="8" w:name="_Toc605"/>
      <w:bookmarkStart w:id="9" w:name="_Toc77884741"/>
      <w:bookmarkStart w:id="10" w:name="_Toc25057"/>
      <w:r>
        <w:rPr>
          <w:rFonts w:hint="eastAsia"/>
          <w:b/>
          <w:bCs/>
          <w:sz w:val="28"/>
          <w:szCs w:val="28"/>
          <w:lang w:val="en-US" w:eastAsia="zh-CN"/>
        </w:rPr>
        <w:t>一、专业描述</w:t>
      </w:r>
      <w:bookmarkEnd w:id="6"/>
    </w:p>
    <w:p w14:paraId="6468F0EC">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00" w:firstLineChars="200"/>
        <w:jc w:val="both"/>
        <w:textAlignment w:val="auto"/>
        <w:outlineLvl w:val="1"/>
        <w:rPr>
          <w:rFonts w:hint="eastAsia" w:ascii="宋体" w:hAnsi="宋体" w:eastAsia="宋体" w:cs="宋体"/>
          <w:b/>
          <w:bCs/>
          <w:sz w:val="24"/>
          <w:szCs w:val="24"/>
          <w:lang w:eastAsia="zh-CN"/>
        </w:rPr>
      </w:pPr>
      <w:bookmarkStart w:id="11" w:name="_Toc5277"/>
      <w:bookmarkStart w:id="12" w:name="_Toc8074"/>
      <w:bookmarkStart w:id="13" w:name="_Toc29076"/>
      <w:r>
        <w:rPr>
          <w:rFonts w:hint="eastAsia" w:ascii="宋体" w:hAnsi="宋体" w:eastAsia="宋体" w:cs="宋体"/>
          <w:b/>
          <w:bCs/>
          <w:sz w:val="24"/>
          <w:szCs w:val="24"/>
          <w:lang w:eastAsia="zh-CN"/>
        </w:rPr>
        <w:t>（</w:t>
      </w:r>
      <w:r>
        <w:rPr>
          <w:rFonts w:hint="eastAsia" w:ascii="宋体" w:hAnsi="宋体" w:eastAsia="宋体" w:cs="宋体"/>
          <w:b/>
          <w:bCs/>
          <w:sz w:val="24"/>
          <w:szCs w:val="24"/>
        </w:rPr>
        <w:t>一</w:t>
      </w:r>
      <w:r>
        <w:rPr>
          <w:rFonts w:hint="eastAsia" w:ascii="宋体" w:hAnsi="宋体" w:eastAsia="宋体" w:cs="宋体"/>
          <w:b/>
          <w:bCs/>
          <w:sz w:val="24"/>
          <w:szCs w:val="24"/>
          <w:lang w:eastAsia="zh-CN"/>
        </w:rPr>
        <w:t>）</w:t>
      </w:r>
      <w:r>
        <w:rPr>
          <w:rFonts w:hint="eastAsia" w:ascii="宋体" w:hAnsi="宋体" w:eastAsia="宋体" w:cs="宋体"/>
          <w:b/>
          <w:bCs/>
          <w:sz w:val="24"/>
          <w:szCs w:val="24"/>
        </w:rPr>
        <w:t>专业名称</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专业</w:t>
      </w:r>
      <w:r>
        <w:rPr>
          <w:rFonts w:hint="eastAsia" w:ascii="宋体" w:hAnsi="宋体" w:eastAsia="宋体" w:cs="宋体"/>
          <w:b/>
          <w:bCs/>
          <w:sz w:val="24"/>
          <w:szCs w:val="24"/>
        </w:rPr>
        <w:t>代码</w:t>
      </w:r>
      <w:bookmarkEnd w:id="7"/>
      <w:bookmarkEnd w:id="8"/>
      <w:bookmarkEnd w:id="9"/>
      <w:bookmarkEnd w:id="10"/>
      <w:bookmarkStart w:id="14" w:name="_Toc22507"/>
      <w:r>
        <w:rPr>
          <w:rFonts w:hint="eastAsia" w:ascii="宋体" w:hAnsi="宋体" w:eastAsia="宋体" w:cs="宋体"/>
          <w:b/>
          <w:bCs/>
          <w:sz w:val="24"/>
          <w:szCs w:val="24"/>
          <w:lang w:eastAsia="zh-CN"/>
        </w:rPr>
        <w:t>）</w:t>
      </w:r>
    </w:p>
    <w:bookmarkEnd w:id="11"/>
    <w:bookmarkEnd w:id="12"/>
    <w:bookmarkEnd w:id="13"/>
    <w:p w14:paraId="1F8CAEDD">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1250" w:firstLineChars="500"/>
        <w:jc w:val="both"/>
        <w:textAlignment w:val="auto"/>
        <w:outlineLvl w:val="1"/>
        <w:rPr>
          <w:rFonts w:hint="eastAsia" w:ascii="宋体" w:hAnsi="宋体" w:eastAsia="宋体" w:cs="宋体"/>
          <w:sz w:val="24"/>
          <w:szCs w:val="24"/>
        </w:rPr>
      </w:pPr>
      <w:r>
        <w:rPr>
          <w:rFonts w:hint="eastAsia" w:ascii="宋体" w:hAnsi="宋体" w:eastAsia="宋体" w:cs="宋体"/>
          <w:sz w:val="24"/>
          <w:szCs w:val="24"/>
        </w:rPr>
        <w:t>现代物业管理</w:t>
      </w:r>
      <w:r>
        <w:rPr>
          <w:rFonts w:hint="eastAsia" w:ascii="宋体" w:hAnsi="宋体" w:eastAsia="宋体" w:cs="宋体"/>
          <w:sz w:val="24"/>
          <w:szCs w:val="24"/>
        </w:rPr>
        <w:tab/>
      </w:r>
      <w:bookmarkStart w:id="15" w:name="_Toc24327"/>
      <w:bookmarkStart w:id="16" w:name="_Toc12161"/>
      <w:bookmarkStart w:id="17" w:name="_Toc3359"/>
      <w:r>
        <w:rPr>
          <w:rFonts w:hint="eastAsia" w:ascii="宋体" w:hAnsi="宋体" w:eastAsia="宋体" w:cs="宋体"/>
          <w:sz w:val="24"/>
          <w:szCs w:val="24"/>
          <w:lang w:val="en-US" w:eastAsia="zh-CN"/>
        </w:rPr>
        <w:t xml:space="preserve"> </w:t>
      </w:r>
      <w:bookmarkEnd w:id="15"/>
      <w:bookmarkEnd w:id="16"/>
      <w:bookmarkEnd w:id="17"/>
      <w:r>
        <w:rPr>
          <w:rFonts w:hint="eastAsia" w:ascii="宋体" w:hAnsi="宋体" w:eastAsia="宋体" w:cs="宋体"/>
          <w:sz w:val="24"/>
          <w:szCs w:val="24"/>
        </w:rPr>
        <w:t>440703</w:t>
      </w:r>
    </w:p>
    <w:bookmarkEnd w:id="14"/>
    <w:p w14:paraId="254FA09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79" w:leftChars="218" w:firstLine="0" w:firstLineChars="0"/>
        <w:jc w:val="both"/>
        <w:textAlignment w:val="auto"/>
        <w:rPr>
          <w:rFonts w:hint="eastAsia" w:ascii="宋体" w:hAnsi="宋体" w:eastAsia="宋体" w:cs="宋体"/>
          <w:b/>
          <w:bCs/>
          <w:sz w:val="24"/>
          <w:szCs w:val="24"/>
        </w:rPr>
      </w:pPr>
      <w:bookmarkStart w:id="18" w:name="_Toc77884944"/>
      <w:bookmarkStart w:id="19" w:name="_Toc18285"/>
      <w:bookmarkStart w:id="20" w:name="_Toc77884742"/>
      <w:bookmarkStart w:id="21" w:name="_Toc30077"/>
      <w:bookmarkStart w:id="22" w:name="_Toc15375"/>
      <w:bookmarkStart w:id="23" w:name="_Toc20890"/>
      <w:bookmarkStart w:id="24" w:name="_Toc30280"/>
      <w:r>
        <w:rPr>
          <w:rFonts w:hint="eastAsia" w:ascii="宋体" w:hAnsi="宋体" w:eastAsia="宋体" w:cs="宋体"/>
          <w:b/>
          <w:bCs/>
          <w:smallCaps/>
          <w:spacing w:val="5"/>
          <w:sz w:val="24"/>
          <w:szCs w:val="24"/>
          <w:lang w:val="en-US" w:eastAsia="zh-CN" w:bidi="ar-SA"/>
        </w:rPr>
        <w:t>（二）</w:t>
      </w:r>
      <w:r>
        <w:rPr>
          <w:rFonts w:hint="eastAsia" w:ascii="宋体" w:hAnsi="宋体" w:eastAsia="宋体" w:cs="宋体"/>
          <w:b/>
          <w:bCs/>
          <w:sz w:val="24"/>
          <w:szCs w:val="24"/>
        </w:rPr>
        <w:t>入学要求</w:t>
      </w:r>
      <w:bookmarkEnd w:id="18"/>
      <w:bookmarkEnd w:id="19"/>
      <w:bookmarkEnd w:id="20"/>
      <w:bookmarkEnd w:id="21"/>
    </w:p>
    <w:p w14:paraId="75D131D6">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Chars="218" w:firstLine="750" w:firstLineChars="300"/>
        <w:jc w:val="both"/>
        <w:textAlignment w:val="auto"/>
        <w:rPr>
          <w:rFonts w:hint="eastAsia" w:ascii="宋体" w:hAnsi="宋体" w:eastAsia="宋体" w:cs="宋体"/>
          <w:b/>
          <w:bCs/>
          <w:smallCaps/>
          <w:spacing w:val="5"/>
          <w:sz w:val="24"/>
          <w:szCs w:val="24"/>
          <w:lang w:val="en-US" w:eastAsia="zh-CN" w:bidi="ar-SA"/>
        </w:rPr>
      </w:pPr>
      <w:r>
        <w:rPr>
          <w:rFonts w:hint="eastAsia" w:ascii="宋体" w:hAnsi="宋体" w:eastAsia="宋体" w:cs="宋体"/>
          <w:sz w:val="24"/>
          <w:szCs w:val="24"/>
          <w:lang w:val="en-US" w:eastAsia="zh-CN"/>
        </w:rPr>
        <w:t>中等职业学校毕业、普通高级中学</w:t>
      </w:r>
      <w:r>
        <w:rPr>
          <w:rFonts w:hint="eastAsia" w:ascii="宋体" w:hAnsi="宋体" w:eastAsia="宋体" w:cs="宋体"/>
          <w:sz w:val="24"/>
          <w:szCs w:val="24"/>
        </w:rPr>
        <w:t>或具</w:t>
      </w:r>
      <w:r>
        <w:rPr>
          <w:rFonts w:hint="eastAsia" w:ascii="宋体" w:hAnsi="宋体" w:eastAsia="宋体" w:cs="宋体"/>
          <w:sz w:val="24"/>
          <w:szCs w:val="24"/>
          <w:lang w:val="en-US" w:eastAsia="zh-CN"/>
        </w:rPr>
        <w:t>备</w:t>
      </w:r>
      <w:r>
        <w:rPr>
          <w:rFonts w:hint="eastAsia" w:ascii="宋体" w:hAnsi="宋体" w:eastAsia="宋体" w:cs="宋体"/>
          <w:sz w:val="24"/>
          <w:szCs w:val="24"/>
        </w:rPr>
        <w:t>同等学力</w:t>
      </w:r>
      <w:bookmarkEnd w:id="22"/>
      <w:bookmarkEnd w:id="23"/>
      <w:bookmarkEnd w:id="24"/>
    </w:p>
    <w:p w14:paraId="3EDA97A8">
      <w:pPr>
        <w:pStyle w:val="2"/>
        <w:keepNext w:val="0"/>
        <w:keepLines w:val="0"/>
        <w:pageBreakBefore w:val="0"/>
        <w:widowControl/>
        <w:numPr>
          <w:ilvl w:val="0"/>
          <w:numId w:val="1"/>
        </w:numPr>
        <w:kinsoku/>
        <w:wordWrap/>
        <w:topLinePunct w:val="0"/>
        <w:autoSpaceDE/>
        <w:autoSpaceDN/>
        <w:bidi w:val="0"/>
        <w:snapToGrid w:val="0"/>
        <w:spacing w:before="0" w:after="0" w:line="440" w:lineRule="exact"/>
        <w:ind w:firstLine="500" w:firstLineChars="200"/>
        <w:jc w:val="both"/>
        <w:textAlignment w:val="auto"/>
        <w:outlineLvl w:val="1"/>
        <w:rPr>
          <w:rFonts w:hint="eastAsia" w:ascii="宋体" w:hAnsi="宋体" w:eastAsia="宋体" w:cs="宋体"/>
          <w:b/>
          <w:bCs/>
          <w:sz w:val="24"/>
          <w:szCs w:val="24"/>
        </w:rPr>
      </w:pPr>
      <w:bookmarkStart w:id="25" w:name="_Toc9123"/>
      <w:bookmarkStart w:id="26" w:name="_Toc77884945"/>
      <w:bookmarkStart w:id="27" w:name="_Toc7126"/>
      <w:bookmarkStart w:id="28" w:name="_Toc77884743"/>
      <w:bookmarkStart w:id="29" w:name="_Toc12395"/>
      <w:bookmarkStart w:id="30" w:name="_Toc12020"/>
      <w:bookmarkStart w:id="31" w:name="_Toc19104"/>
      <w:r>
        <w:rPr>
          <w:rFonts w:hint="eastAsia" w:ascii="宋体" w:hAnsi="宋体" w:eastAsia="宋体" w:cs="宋体"/>
          <w:b/>
          <w:bCs/>
          <w:sz w:val="24"/>
          <w:szCs w:val="24"/>
          <w:lang w:val="en-US" w:eastAsia="zh-CN"/>
        </w:rPr>
        <w:t>基本</w:t>
      </w:r>
      <w:r>
        <w:rPr>
          <w:rFonts w:hint="eastAsia" w:ascii="宋体" w:hAnsi="宋体" w:eastAsia="宋体" w:cs="宋体"/>
          <w:b/>
          <w:bCs/>
          <w:sz w:val="24"/>
          <w:szCs w:val="24"/>
        </w:rPr>
        <w:t>修业年限</w:t>
      </w:r>
      <w:bookmarkEnd w:id="25"/>
      <w:bookmarkEnd w:id="26"/>
      <w:bookmarkEnd w:id="27"/>
      <w:bookmarkEnd w:id="28"/>
    </w:p>
    <w:p w14:paraId="52A53694">
      <w:pPr>
        <w:pStyle w:val="2"/>
        <w:keepNext w:val="0"/>
        <w:keepLines w:val="0"/>
        <w:pageBreakBefore w:val="0"/>
        <w:widowControl/>
        <w:numPr>
          <w:ilvl w:val="0"/>
          <w:numId w:val="0"/>
        </w:numPr>
        <w:kinsoku/>
        <w:wordWrap/>
        <w:topLinePunct w:val="0"/>
        <w:autoSpaceDE/>
        <w:autoSpaceDN/>
        <w:bidi w:val="0"/>
        <w:snapToGrid w:val="0"/>
        <w:spacing w:before="0" w:after="0" w:line="440" w:lineRule="exact"/>
        <w:ind w:firstLine="1250" w:firstLineChars="500"/>
        <w:jc w:val="both"/>
        <w:textAlignment w:val="auto"/>
        <w:outlineLvl w:val="1"/>
        <w:rPr>
          <w:rFonts w:hint="eastAsia" w:ascii="宋体" w:hAnsi="宋体" w:eastAsia="宋体" w:cs="宋体"/>
          <w:sz w:val="24"/>
          <w:szCs w:val="24"/>
        </w:rPr>
      </w:pPr>
      <w:r>
        <w:rPr>
          <w:rFonts w:hint="eastAsia" w:ascii="宋体" w:hAnsi="宋体" w:eastAsia="宋体" w:cs="宋体"/>
          <w:sz w:val="24"/>
          <w:szCs w:val="24"/>
        </w:rPr>
        <w:t>三年</w:t>
      </w:r>
      <w:bookmarkEnd w:id="29"/>
      <w:bookmarkEnd w:id="30"/>
      <w:bookmarkEnd w:id="31"/>
    </w:p>
    <w:p w14:paraId="6C10540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32" w:name="_Toc77884946"/>
      <w:bookmarkStart w:id="33" w:name="_Toc9091"/>
      <w:bookmarkStart w:id="34" w:name="_Toc11957"/>
      <w:bookmarkStart w:id="35" w:name="_Toc77884744"/>
      <w:bookmarkStart w:id="36" w:name="_Toc22315"/>
      <w:r>
        <w:rPr>
          <w:rFonts w:hint="eastAsia"/>
          <w:b/>
          <w:bCs/>
          <w:sz w:val="28"/>
          <w:szCs w:val="28"/>
          <w:lang w:val="en-US" w:eastAsia="zh-CN"/>
        </w:rPr>
        <w:t>二</w:t>
      </w:r>
      <w:r>
        <w:rPr>
          <w:b/>
          <w:bCs/>
          <w:sz w:val="28"/>
          <w:szCs w:val="28"/>
        </w:rPr>
        <w:t>、职业面向</w:t>
      </w:r>
      <w:bookmarkEnd w:id="32"/>
      <w:bookmarkEnd w:id="33"/>
      <w:bookmarkEnd w:id="34"/>
      <w:bookmarkEnd w:id="35"/>
      <w:r>
        <w:rPr>
          <w:rFonts w:hint="eastAsia"/>
          <w:b/>
          <w:bCs/>
          <w:sz w:val="28"/>
          <w:szCs w:val="28"/>
        </w:rPr>
        <w:t>及职业岗位分析</w:t>
      </w:r>
      <w:bookmarkEnd w:id="36"/>
    </w:p>
    <w:p w14:paraId="294E227C">
      <w:pPr>
        <w:keepNext w:val="0"/>
        <w:keepLines w:val="0"/>
        <w:pageBreakBefore w:val="0"/>
        <w:widowControl/>
        <w:kinsoku/>
        <w:wordWrap/>
        <w:overflowPunct w:val="0"/>
        <w:topLinePunct w:val="0"/>
        <w:autoSpaceDE/>
        <w:autoSpaceDN/>
        <w:bidi w:val="0"/>
        <w:adjustRightInd w:val="0"/>
        <w:spacing w:after="0" w:line="440" w:lineRule="exact"/>
        <w:ind w:firstLine="48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4"/>
          <w:szCs w:val="24"/>
        </w:rPr>
        <w:t>本专业职业面向如表1所示。</w:t>
      </w:r>
    </w:p>
    <w:p w14:paraId="6908A5C9">
      <w:pPr>
        <w:pStyle w:val="25"/>
        <w:rPr>
          <w:rFonts w:hint="eastAsia"/>
        </w:rPr>
      </w:pPr>
      <w:bookmarkStart w:id="37" w:name="_Toc102927433"/>
      <w:bookmarkStart w:id="38" w:name="_Toc102927729"/>
      <w:r>
        <w:t>表</w:t>
      </w:r>
      <w:r>
        <w:rPr>
          <w:spacing w:val="-55"/>
        </w:rPr>
        <w:t xml:space="preserve"> </w:t>
      </w:r>
      <w:r>
        <w:rPr>
          <w:rFonts w:hint="eastAsia"/>
        </w:rPr>
        <w:t>1：本专业职业面向</w:t>
      </w:r>
      <w:bookmarkEnd w:id="37"/>
      <w:bookmarkEnd w:id="38"/>
    </w:p>
    <w:tbl>
      <w:tblPr>
        <w:tblStyle w:val="14"/>
        <w:tblW w:w="91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298"/>
        <w:gridCol w:w="1116"/>
        <w:gridCol w:w="1944"/>
        <w:gridCol w:w="1566"/>
        <w:gridCol w:w="2128"/>
      </w:tblGrid>
      <w:tr w14:paraId="6BE9C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25" w:type="dxa"/>
            <w:tcBorders>
              <w:tl2br w:val="nil"/>
              <w:tr2bl w:val="nil"/>
            </w:tcBorders>
            <w:shd w:val="clear" w:color="auto" w:fill="auto"/>
            <w:vAlign w:val="center"/>
          </w:tcPr>
          <w:p w14:paraId="74C55B68">
            <w:pPr>
              <w:spacing w:after="0" w:line="280" w:lineRule="exact"/>
              <w:jc w:val="center"/>
              <w:rPr>
                <w:b/>
                <w:bCs/>
                <w:sz w:val="21"/>
                <w:szCs w:val="21"/>
              </w:rPr>
            </w:pPr>
            <w:bookmarkStart w:id="39" w:name="_Toc77884746"/>
            <w:bookmarkStart w:id="40" w:name="_Toc77884948"/>
            <w:bookmarkStart w:id="41" w:name="_Toc77886480"/>
            <w:bookmarkStart w:id="42" w:name="_Toc18712"/>
            <w:bookmarkStart w:id="43" w:name="_Toc21411"/>
            <w:bookmarkStart w:id="44" w:name="_Toc26583"/>
            <w:r>
              <w:rPr>
                <w:rFonts w:hint="eastAsia"/>
                <w:b/>
                <w:bCs/>
                <w:sz w:val="21"/>
                <w:szCs w:val="21"/>
              </w:rPr>
              <w:t>所属专业</w:t>
            </w:r>
            <w:bookmarkEnd w:id="39"/>
            <w:bookmarkEnd w:id="40"/>
            <w:bookmarkEnd w:id="41"/>
            <w:bookmarkStart w:id="45" w:name="_Toc77886481"/>
            <w:bookmarkStart w:id="46" w:name="_Toc77884949"/>
            <w:bookmarkStart w:id="47" w:name="_Toc77884747"/>
            <w:r>
              <w:rPr>
                <w:rFonts w:hint="eastAsia"/>
                <w:b/>
                <w:bCs/>
                <w:sz w:val="21"/>
                <w:szCs w:val="21"/>
              </w:rPr>
              <w:t>大</w:t>
            </w:r>
            <w:bookmarkEnd w:id="42"/>
            <w:bookmarkEnd w:id="43"/>
            <w:bookmarkEnd w:id="44"/>
            <w:r>
              <w:rPr>
                <w:rFonts w:hint="eastAsia"/>
                <w:b/>
                <w:bCs/>
                <w:sz w:val="21"/>
                <w:szCs w:val="21"/>
              </w:rPr>
              <w:t>类</w:t>
            </w:r>
            <w:bookmarkEnd w:id="45"/>
            <w:bookmarkEnd w:id="46"/>
            <w:bookmarkEnd w:id="47"/>
            <w:bookmarkStart w:id="48" w:name="_Toc18878"/>
            <w:bookmarkStart w:id="49" w:name="_Toc77884748"/>
            <w:bookmarkStart w:id="50" w:name="_Toc30968"/>
            <w:bookmarkStart w:id="51" w:name="_Toc29680"/>
            <w:bookmarkStart w:id="52" w:name="_Toc77884950"/>
            <w:bookmarkStart w:id="53" w:name="_Toc77886482"/>
            <w:r>
              <w:rPr>
                <w:rFonts w:hint="eastAsia"/>
                <w:b/>
                <w:bCs/>
                <w:sz w:val="21"/>
                <w:szCs w:val="21"/>
              </w:rPr>
              <w:t>（代码）</w:t>
            </w:r>
            <w:bookmarkEnd w:id="48"/>
            <w:bookmarkEnd w:id="49"/>
            <w:bookmarkEnd w:id="50"/>
            <w:bookmarkEnd w:id="51"/>
            <w:bookmarkEnd w:id="52"/>
            <w:bookmarkEnd w:id="53"/>
          </w:p>
        </w:tc>
        <w:tc>
          <w:tcPr>
            <w:tcW w:w="1298" w:type="dxa"/>
            <w:tcBorders>
              <w:tl2br w:val="nil"/>
              <w:tr2bl w:val="nil"/>
            </w:tcBorders>
            <w:shd w:val="clear" w:color="auto" w:fill="auto"/>
            <w:vAlign w:val="center"/>
          </w:tcPr>
          <w:p w14:paraId="671879EF">
            <w:pPr>
              <w:spacing w:after="0" w:line="280" w:lineRule="exact"/>
              <w:jc w:val="center"/>
              <w:rPr>
                <w:b/>
                <w:bCs/>
                <w:sz w:val="21"/>
                <w:szCs w:val="21"/>
              </w:rPr>
            </w:pPr>
            <w:bookmarkStart w:id="54" w:name="_Toc27614"/>
            <w:bookmarkStart w:id="55" w:name="_Toc20331"/>
            <w:bookmarkStart w:id="56" w:name="_Toc77884951"/>
            <w:bookmarkStart w:id="57" w:name="_Toc77886483"/>
            <w:bookmarkStart w:id="58" w:name="_Toc717"/>
            <w:bookmarkStart w:id="59" w:name="_Toc77884749"/>
            <w:r>
              <w:rPr>
                <w:rFonts w:hint="eastAsia"/>
                <w:b/>
                <w:bCs/>
                <w:sz w:val="21"/>
                <w:szCs w:val="21"/>
              </w:rPr>
              <w:t>所属专业类</w:t>
            </w:r>
            <w:bookmarkEnd w:id="54"/>
            <w:bookmarkEnd w:id="55"/>
            <w:bookmarkEnd w:id="56"/>
            <w:bookmarkEnd w:id="57"/>
            <w:bookmarkEnd w:id="58"/>
            <w:bookmarkEnd w:id="59"/>
          </w:p>
          <w:p w14:paraId="7EBFDA90">
            <w:pPr>
              <w:spacing w:after="0" w:line="280" w:lineRule="exact"/>
              <w:jc w:val="center"/>
              <w:rPr>
                <w:b/>
                <w:bCs/>
                <w:sz w:val="21"/>
                <w:szCs w:val="21"/>
              </w:rPr>
            </w:pPr>
            <w:bookmarkStart w:id="60" w:name="_Toc77884750"/>
            <w:bookmarkStart w:id="61" w:name="_Toc16985"/>
            <w:bookmarkStart w:id="62" w:name="_Toc5473"/>
            <w:bookmarkStart w:id="63" w:name="_Toc77886484"/>
            <w:bookmarkStart w:id="64" w:name="_Toc28055"/>
            <w:bookmarkStart w:id="65" w:name="_Toc77884952"/>
            <w:r>
              <w:rPr>
                <w:rFonts w:hint="eastAsia"/>
                <w:b/>
                <w:bCs/>
                <w:sz w:val="21"/>
                <w:szCs w:val="21"/>
              </w:rPr>
              <w:t>（代码）</w:t>
            </w:r>
            <w:bookmarkEnd w:id="60"/>
            <w:bookmarkEnd w:id="61"/>
            <w:bookmarkEnd w:id="62"/>
            <w:bookmarkEnd w:id="63"/>
            <w:bookmarkEnd w:id="64"/>
            <w:bookmarkEnd w:id="65"/>
          </w:p>
        </w:tc>
        <w:tc>
          <w:tcPr>
            <w:tcW w:w="1116" w:type="dxa"/>
            <w:tcBorders>
              <w:tl2br w:val="nil"/>
              <w:tr2bl w:val="nil"/>
            </w:tcBorders>
            <w:shd w:val="clear" w:color="auto" w:fill="auto"/>
            <w:vAlign w:val="center"/>
          </w:tcPr>
          <w:p w14:paraId="47594FD1">
            <w:pPr>
              <w:spacing w:after="0" w:line="280" w:lineRule="exact"/>
              <w:jc w:val="center"/>
              <w:rPr>
                <w:b/>
                <w:bCs/>
                <w:sz w:val="21"/>
                <w:szCs w:val="21"/>
              </w:rPr>
            </w:pPr>
            <w:bookmarkStart w:id="66" w:name="_Toc6174"/>
            <w:bookmarkStart w:id="67" w:name="_Toc27103"/>
            <w:bookmarkStart w:id="68" w:name="_Toc77884751"/>
            <w:bookmarkStart w:id="69" w:name="_Toc77886485"/>
            <w:bookmarkStart w:id="70" w:name="_Toc12628"/>
            <w:bookmarkStart w:id="71" w:name="_Toc77884953"/>
            <w:r>
              <w:rPr>
                <w:rFonts w:hint="eastAsia"/>
                <w:b/>
                <w:bCs/>
                <w:sz w:val="21"/>
                <w:szCs w:val="21"/>
              </w:rPr>
              <w:t>对应行业</w:t>
            </w:r>
            <w:bookmarkEnd w:id="66"/>
            <w:bookmarkEnd w:id="67"/>
            <w:bookmarkEnd w:id="68"/>
            <w:bookmarkEnd w:id="69"/>
            <w:bookmarkEnd w:id="70"/>
            <w:bookmarkEnd w:id="71"/>
          </w:p>
          <w:p w14:paraId="5C2AE734">
            <w:pPr>
              <w:spacing w:after="0" w:line="280" w:lineRule="exact"/>
              <w:jc w:val="center"/>
              <w:rPr>
                <w:b/>
                <w:bCs/>
                <w:sz w:val="21"/>
                <w:szCs w:val="21"/>
              </w:rPr>
            </w:pPr>
            <w:bookmarkStart w:id="72" w:name="_Toc77884954"/>
            <w:bookmarkStart w:id="73" w:name="_Toc3534"/>
            <w:bookmarkStart w:id="74" w:name="_Toc16497"/>
            <w:bookmarkStart w:id="75" w:name="_Toc15123"/>
            <w:bookmarkStart w:id="76" w:name="_Toc77886486"/>
            <w:bookmarkStart w:id="77" w:name="_Toc77884752"/>
            <w:r>
              <w:rPr>
                <w:rFonts w:hint="eastAsia"/>
                <w:b/>
                <w:bCs/>
                <w:sz w:val="21"/>
                <w:szCs w:val="21"/>
              </w:rPr>
              <w:t>（代码）</w:t>
            </w:r>
            <w:bookmarkEnd w:id="72"/>
            <w:bookmarkEnd w:id="73"/>
            <w:bookmarkEnd w:id="74"/>
            <w:bookmarkEnd w:id="75"/>
            <w:bookmarkEnd w:id="76"/>
            <w:bookmarkEnd w:id="77"/>
          </w:p>
        </w:tc>
        <w:tc>
          <w:tcPr>
            <w:tcW w:w="1944" w:type="dxa"/>
            <w:tcBorders>
              <w:tl2br w:val="nil"/>
              <w:tr2bl w:val="nil"/>
            </w:tcBorders>
            <w:shd w:val="clear" w:color="auto" w:fill="auto"/>
            <w:vAlign w:val="center"/>
          </w:tcPr>
          <w:p w14:paraId="6D98604B">
            <w:pPr>
              <w:spacing w:after="0" w:line="280" w:lineRule="exact"/>
              <w:jc w:val="center"/>
              <w:rPr>
                <w:b/>
                <w:bCs/>
                <w:sz w:val="21"/>
                <w:szCs w:val="21"/>
              </w:rPr>
            </w:pPr>
            <w:bookmarkStart w:id="78" w:name="_Toc22025"/>
            <w:bookmarkStart w:id="79" w:name="_Toc77884753"/>
            <w:bookmarkStart w:id="80" w:name="_Toc77886487"/>
            <w:bookmarkStart w:id="81" w:name="_Toc20448"/>
            <w:bookmarkStart w:id="82" w:name="_Toc77884955"/>
            <w:bookmarkStart w:id="83" w:name="_Toc16433"/>
            <w:r>
              <w:rPr>
                <w:rFonts w:hint="eastAsia"/>
                <w:b/>
                <w:bCs/>
                <w:sz w:val="21"/>
                <w:szCs w:val="21"/>
              </w:rPr>
              <w:t>主要职业类别</w:t>
            </w:r>
            <w:bookmarkEnd w:id="78"/>
            <w:bookmarkEnd w:id="79"/>
            <w:bookmarkEnd w:id="80"/>
            <w:bookmarkEnd w:id="81"/>
            <w:bookmarkEnd w:id="82"/>
            <w:bookmarkEnd w:id="83"/>
          </w:p>
          <w:p w14:paraId="764014C8">
            <w:pPr>
              <w:spacing w:after="0" w:line="280" w:lineRule="exact"/>
              <w:jc w:val="center"/>
              <w:rPr>
                <w:b/>
                <w:bCs/>
                <w:sz w:val="21"/>
                <w:szCs w:val="21"/>
              </w:rPr>
            </w:pPr>
            <w:bookmarkStart w:id="84" w:name="_Toc77886488"/>
            <w:bookmarkStart w:id="85" w:name="_Toc77884754"/>
            <w:bookmarkStart w:id="86" w:name="_Toc18684"/>
            <w:bookmarkStart w:id="87" w:name="_Toc10381"/>
            <w:bookmarkStart w:id="88" w:name="_Toc77884956"/>
            <w:bookmarkStart w:id="89" w:name="_Toc17766"/>
            <w:r>
              <w:rPr>
                <w:rFonts w:hint="eastAsia"/>
                <w:b/>
                <w:bCs/>
                <w:sz w:val="21"/>
                <w:szCs w:val="21"/>
              </w:rPr>
              <w:t>（代码）</w:t>
            </w:r>
            <w:bookmarkEnd w:id="84"/>
            <w:bookmarkEnd w:id="85"/>
            <w:bookmarkEnd w:id="86"/>
            <w:bookmarkEnd w:id="87"/>
            <w:bookmarkEnd w:id="88"/>
            <w:bookmarkEnd w:id="89"/>
          </w:p>
        </w:tc>
        <w:tc>
          <w:tcPr>
            <w:tcW w:w="1566" w:type="dxa"/>
            <w:tcBorders>
              <w:tl2br w:val="nil"/>
              <w:tr2bl w:val="nil"/>
            </w:tcBorders>
            <w:shd w:val="clear" w:color="auto" w:fill="auto"/>
            <w:vAlign w:val="center"/>
          </w:tcPr>
          <w:p w14:paraId="25A24C2C">
            <w:pPr>
              <w:spacing w:after="0" w:line="280" w:lineRule="exact"/>
              <w:jc w:val="center"/>
              <w:rPr>
                <w:b/>
                <w:bCs/>
                <w:sz w:val="21"/>
                <w:szCs w:val="21"/>
              </w:rPr>
            </w:pPr>
            <w:bookmarkStart w:id="90" w:name="_Toc77884755"/>
            <w:bookmarkStart w:id="91" w:name="_Toc30365"/>
            <w:bookmarkStart w:id="92" w:name="_Toc15326"/>
            <w:bookmarkStart w:id="93" w:name="_Toc4538"/>
            <w:bookmarkStart w:id="94" w:name="_Toc77886489"/>
            <w:bookmarkStart w:id="95" w:name="_Toc77884957"/>
            <w:r>
              <w:rPr>
                <w:rFonts w:hint="eastAsia"/>
                <w:b/>
                <w:bCs/>
                <w:sz w:val="21"/>
                <w:szCs w:val="21"/>
              </w:rPr>
              <w:t>主要岗位或技术领域</w:t>
            </w:r>
            <w:bookmarkEnd w:id="90"/>
            <w:bookmarkEnd w:id="91"/>
            <w:bookmarkEnd w:id="92"/>
            <w:bookmarkEnd w:id="93"/>
            <w:bookmarkEnd w:id="94"/>
            <w:bookmarkEnd w:id="95"/>
          </w:p>
        </w:tc>
        <w:tc>
          <w:tcPr>
            <w:tcW w:w="2128" w:type="dxa"/>
            <w:tcBorders>
              <w:tl2br w:val="nil"/>
              <w:tr2bl w:val="nil"/>
            </w:tcBorders>
            <w:shd w:val="clear" w:color="auto" w:fill="auto"/>
            <w:vAlign w:val="center"/>
          </w:tcPr>
          <w:p w14:paraId="6FAD5BF8">
            <w:pPr>
              <w:spacing w:after="0" w:line="280" w:lineRule="exact"/>
              <w:jc w:val="center"/>
              <w:rPr>
                <w:b/>
                <w:bCs/>
                <w:sz w:val="21"/>
                <w:szCs w:val="21"/>
              </w:rPr>
            </w:pPr>
            <w:bookmarkStart w:id="96" w:name="_Toc77884958"/>
            <w:bookmarkStart w:id="97" w:name="_Toc77884756"/>
            <w:bookmarkStart w:id="98" w:name="_Toc29851"/>
            <w:bookmarkStart w:id="99" w:name="_Toc4929"/>
            <w:bookmarkStart w:id="100" w:name="_Toc13628"/>
            <w:bookmarkStart w:id="101" w:name="_Toc77886490"/>
            <w:r>
              <w:rPr>
                <w:rFonts w:hint="eastAsia"/>
                <w:b/>
                <w:bCs/>
                <w:sz w:val="21"/>
                <w:szCs w:val="21"/>
              </w:rPr>
              <w:t>职业资格证书和职业技能等级证书</w:t>
            </w:r>
            <w:bookmarkEnd w:id="96"/>
            <w:bookmarkEnd w:id="97"/>
            <w:bookmarkEnd w:id="98"/>
            <w:bookmarkEnd w:id="99"/>
            <w:bookmarkEnd w:id="100"/>
            <w:bookmarkEnd w:id="101"/>
            <w:r>
              <w:rPr>
                <w:rFonts w:hint="eastAsia"/>
                <w:b/>
                <w:bCs/>
                <w:sz w:val="21"/>
                <w:szCs w:val="21"/>
              </w:rPr>
              <w:t>举例</w:t>
            </w:r>
          </w:p>
        </w:tc>
      </w:tr>
      <w:tr w14:paraId="3446C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9" w:hRule="exact"/>
          <w:jc w:val="center"/>
        </w:trPr>
        <w:tc>
          <w:tcPr>
            <w:tcW w:w="1125" w:type="dxa"/>
            <w:tcBorders>
              <w:tl2br w:val="nil"/>
              <w:tr2bl w:val="nil"/>
            </w:tcBorders>
            <w:shd w:val="clear" w:color="auto" w:fill="auto"/>
            <w:vAlign w:val="center"/>
          </w:tcPr>
          <w:p w14:paraId="79F2215B">
            <w:pPr>
              <w:spacing w:after="0" w:line="320" w:lineRule="exact"/>
              <w:jc w:val="center"/>
              <w:rPr>
                <w:rFonts w:hint="eastAsia" w:ascii="宋体" w:hAnsi="宋体" w:eastAsia="宋体" w:cs="宋体"/>
                <w:sz w:val="21"/>
                <w:szCs w:val="21"/>
              </w:rPr>
            </w:pPr>
            <w:r>
              <w:rPr>
                <w:rFonts w:hint="eastAsia" w:ascii="宋体" w:hAnsi="宋体" w:eastAsia="宋体" w:cs="宋体"/>
                <w:sz w:val="21"/>
                <w:szCs w:val="21"/>
              </w:rPr>
              <w:t>土木建筑大类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4</w:t>
            </w:r>
            <w:r>
              <w:rPr>
                <w:rFonts w:hint="eastAsia" w:ascii="宋体" w:hAnsi="宋体" w:eastAsia="宋体" w:cs="宋体"/>
                <w:sz w:val="21"/>
                <w:szCs w:val="21"/>
              </w:rPr>
              <w:t>4</w:t>
            </w:r>
            <w:r>
              <w:rPr>
                <w:rFonts w:hint="eastAsia" w:ascii="宋体" w:hAnsi="宋体" w:eastAsia="宋体" w:cs="宋体"/>
                <w:sz w:val="21"/>
                <w:szCs w:val="21"/>
                <w:lang w:eastAsia="zh-CN"/>
              </w:rPr>
              <w:t>）</w:t>
            </w:r>
          </w:p>
        </w:tc>
        <w:tc>
          <w:tcPr>
            <w:tcW w:w="1298" w:type="dxa"/>
            <w:tcBorders>
              <w:tl2br w:val="nil"/>
              <w:tr2bl w:val="nil"/>
            </w:tcBorders>
            <w:shd w:val="clear" w:color="auto" w:fill="auto"/>
            <w:vAlign w:val="center"/>
          </w:tcPr>
          <w:p w14:paraId="620B05A6">
            <w:pPr>
              <w:spacing w:after="0" w:line="320" w:lineRule="exact"/>
              <w:jc w:val="center"/>
              <w:rPr>
                <w:rFonts w:hint="eastAsia" w:ascii="宋体" w:hAnsi="宋体" w:eastAsia="宋体" w:cs="宋体"/>
                <w:sz w:val="21"/>
                <w:szCs w:val="21"/>
              </w:rPr>
            </w:pPr>
            <w:r>
              <w:rPr>
                <w:rFonts w:hint="eastAsia" w:ascii="宋体" w:hAnsi="宋体" w:eastAsia="宋体" w:cs="宋体"/>
                <w:sz w:val="21"/>
                <w:szCs w:val="21"/>
              </w:rPr>
              <w:t>房地产</w:t>
            </w:r>
          </w:p>
          <w:p w14:paraId="2AC8A6CC">
            <w:pPr>
              <w:spacing w:after="0" w:line="320" w:lineRule="exact"/>
              <w:jc w:val="center"/>
              <w:rPr>
                <w:rFonts w:hint="eastAsia" w:ascii="宋体" w:hAnsi="宋体" w:eastAsia="宋体" w:cs="宋体"/>
                <w:sz w:val="21"/>
                <w:szCs w:val="21"/>
              </w:rPr>
            </w:pPr>
            <w:r>
              <w:rPr>
                <w:rFonts w:hint="eastAsia" w:ascii="宋体" w:hAnsi="宋体" w:eastAsia="宋体" w:cs="宋体"/>
                <w:sz w:val="21"/>
                <w:szCs w:val="21"/>
              </w:rPr>
              <w:t>类（4407）</w:t>
            </w:r>
          </w:p>
        </w:tc>
        <w:tc>
          <w:tcPr>
            <w:tcW w:w="1116" w:type="dxa"/>
            <w:tcBorders>
              <w:tl2br w:val="nil"/>
              <w:tr2bl w:val="nil"/>
            </w:tcBorders>
            <w:shd w:val="clear" w:color="auto" w:fill="auto"/>
            <w:vAlign w:val="center"/>
          </w:tcPr>
          <w:p w14:paraId="484A5E23">
            <w:pPr>
              <w:spacing w:after="0" w:line="320" w:lineRule="exact"/>
              <w:rPr>
                <w:rFonts w:hint="eastAsia" w:ascii="宋体" w:hAnsi="宋体" w:eastAsia="宋体" w:cs="宋体"/>
                <w:sz w:val="21"/>
                <w:szCs w:val="21"/>
              </w:rPr>
            </w:pPr>
            <w:r>
              <w:rPr>
                <w:rFonts w:hint="eastAsia" w:ascii="宋体" w:hAnsi="宋体" w:eastAsia="宋体" w:cs="宋体"/>
                <w:sz w:val="21"/>
                <w:szCs w:val="21"/>
                <w:lang w:val="en-US" w:eastAsia="zh-CN"/>
              </w:rPr>
              <w:t>房地产业（70）</w:t>
            </w:r>
          </w:p>
        </w:tc>
        <w:tc>
          <w:tcPr>
            <w:tcW w:w="1944" w:type="dxa"/>
            <w:tcBorders>
              <w:tl2br w:val="nil"/>
              <w:tr2bl w:val="nil"/>
            </w:tcBorders>
            <w:shd w:val="clear" w:color="auto" w:fill="auto"/>
            <w:vAlign w:val="center"/>
          </w:tcPr>
          <w:p w14:paraId="3D351DF0">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物业管理员（4-06-01-01）；</w:t>
            </w:r>
          </w:p>
          <w:p w14:paraId="6E64E9AF">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物业经理人（2-06-07-10）；客户服务管理员（4-07-02-03）；</w:t>
            </w:r>
          </w:p>
          <w:p w14:paraId="16D601AD">
            <w:pPr>
              <w:spacing w:after="0" w:line="320" w:lineRule="exac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管理咨询专业人员（2-06-07-08）</w:t>
            </w:r>
            <w:r>
              <w:rPr>
                <w:rFonts w:hint="eastAsia" w:ascii="宋体" w:hAnsi="宋体" w:eastAsia="宋体" w:cs="宋体"/>
                <w:sz w:val="21"/>
                <w:szCs w:val="21"/>
              </w:rPr>
              <w:t xml:space="preserve"> </w:t>
            </w:r>
          </w:p>
        </w:tc>
        <w:tc>
          <w:tcPr>
            <w:tcW w:w="1566" w:type="dxa"/>
            <w:tcBorders>
              <w:tl2br w:val="nil"/>
              <w:tr2bl w:val="nil"/>
            </w:tcBorders>
            <w:shd w:val="clear" w:color="auto" w:fill="auto"/>
            <w:vAlign w:val="center"/>
          </w:tcPr>
          <w:p w14:paraId="3AD4D912">
            <w:pPr>
              <w:spacing w:after="0" w:line="320" w:lineRule="exact"/>
              <w:rPr>
                <w:rFonts w:hint="eastAsia" w:ascii="宋体" w:hAnsi="宋体" w:eastAsia="宋体" w:cs="宋体"/>
                <w:sz w:val="21"/>
                <w:szCs w:val="21"/>
              </w:rPr>
            </w:pPr>
            <w:r>
              <w:rPr>
                <w:rFonts w:hint="eastAsia" w:ascii="宋体" w:hAnsi="宋体" w:eastAsia="宋体" w:cs="宋体"/>
                <w:sz w:val="21"/>
                <w:szCs w:val="21"/>
              </w:rPr>
              <w:t>物业设施设备主管；</w:t>
            </w:r>
          </w:p>
          <w:p w14:paraId="6091690E">
            <w:pPr>
              <w:spacing w:after="0" w:line="320" w:lineRule="exact"/>
              <w:rPr>
                <w:rFonts w:hint="eastAsia" w:ascii="宋体" w:hAnsi="宋体" w:eastAsia="宋体" w:cs="宋体"/>
                <w:sz w:val="21"/>
                <w:szCs w:val="21"/>
              </w:rPr>
            </w:pPr>
            <w:r>
              <w:rPr>
                <w:rFonts w:hint="eastAsia" w:ascii="宋体" w:hAnsi="宋体" w:eastAsia="宋体" w:cs="宋体"/>
                <w:sz w:val="21"/>
                <w:szCs w:val="21"/>
              </w:rPr>
              <w:t>物业空间维护与营造</w:t>
            </w:r>
          </w:p>
          <w:p w14:paraId="213D117D">
            <w:pPr>
              <w:spacing w:after="0" w:line="320" w:lineRule="exact"/>
              <w:rPr>
                <w:rFonts w:hint="eastAsia" w:ascii="宋体" w:hAnsi="宋体" w:eastAsia="宋体" w:cs="宋体"/>
                <w:sz w:val="21"/>
                <w:szCs w:val="21"/>
              </w:rPr>
            </w:pPr>
            <w:r>
              <w:rPr>
                <w:rFonts w:hint="eastAsia" w:ascii="宋体" w:hAnsi="宋体" w:eastAsia="宋体" w:cs="宋体"/>
                <w:sz w:val="21"/>
                <w:szCs w:val="21"/>
              </w:rPr>
              <w:t>管理主管；</w:t>
            </w:r>
          </w:p>
          <w:p w14:paraId="049CDF0B">
            <w:pPr>
              <w:spacing w:after="0" w:line="320" w:lineRule="exact"/>
              <w:rPr>
                <w:rFonts w:hint="eastAsia" w:ascii="宋体" w:hAnsi="宋体" w:eastAsia="宋体" w:cs="宋体"/>
                <w:sz w:val="21"/>
                <w:szCs w:val="21"/>
              </w:rPr>
            </w:pPr>
            <w:r>
              <w:rPr>
                <w:rFonts w:hint="eastAsia" w:ascii="宋体" w:hAnsi="宋体" w:eastAsia="宋体" w:cs="宋体"/>
                <w:sz w:val="21"/>
                <w:szCs w:val="21"/>
              </w:rPr>
              <w:t>物业客户服务主管；</w:t>
            </w:r>
          </w:p>
          <w:p w14:paraId="2D675174">
            <w:pPr>
              <w:spacing w:after="0" w:line="320" w:lineRule="exact"/>
              <w:rPr>
                <w:rFonts w:hint="eastAsia" w:ascii="宋体" w:hAnsi="宋体" w:eastAsia="宋体" w:cs="宋体"/>
                <w:sz w:val="21"/>
                <w:szCs w:val="21"/>
              </w:rPr>
            </w:pPr>
            <w:r>
              <w:rPr>
                <w:rFonts w:hint="eastAsia" w:ascii="宋体" w:hAnsi="宋体" w:eastAsia="宋体" w:cs="宋体"/>
                <w:sz w:val="21"/>
                <w:szCs w:val="21"/>
              </w:rPr>
              <w:t>物业资产经营主管；</w:t>
            </w:r>
          </w:p>
          <w:p w14:paraId="5B5A5A9C">
            <w:pPr>
              <w:spacing w:after="0" w:line="320" w:lineRule="exact"/>
              <w:rPr>
                <w:rFonts w:hint="eastAsia" w:ascii="宋体" w:hAnsi="宋体" w:eastAsia="宋体" w:cs="宋体"/>
                <w:sz w:val="21"/>
                <w:szCs w:val="21"/>
              </w:rPr>
            </w:pPr>
            <w:r>
              <w:rPr>
                <w:rFonts w:hint="eastAsia" w:ascii="宋体" w:hAnsi="宋体" w:eastAsia="宋体" w:cs="宋体"/>
                <w:sz w:val="21"/>
                <w:szCs w:val="21"/>
              </w:rPr>
              <w:t>物业服务咨询员</w:t>
            </w:r>
          </w:p>
        </w:tc>
        <w:tc>
          <w:tcPr>
            <w:tcW w:w="2128" w:type="dxa"/>
            <w:tcBorders>
              <w:tl2br w:val="nil"/>
              <w:tr2bl w:val="nil"/>
            </w:tcBorders>
            <w:shd w:val="clear" w:color="auto" w:fill="auto"/>
            <w:vAlign w:val="center"/>
          </w:tcPr>
          <w:p w14:paraId="6628B05D">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物业经理证；注册物业管理师证；物业评估师；人力资源管理师；消防设施操作员；保安员证；房地产经纪人证；</w:t>
            </w:r>
          </w:p>
        </w:tc>
      </w:tr>
      <w:tr w14:paraId="509A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exact"/>
          <w:jc w:val="center"/>
        </w:trPr>
        <w:tc>
          <w:tcPr>
            <w:tcW w:w="9177" w:type="dxa"/>
            <w:gridSpan w:val="6"/>
            <w:tcBorders>
              <w:tl2br w:val="nil"/>
              <w:tr2bl w:val="nil"/>
            </w:tcBorders>
            <w:shd w:val="clear" w:color="auto" w:fill="auto"/>
            <w:vAlign w:val="center"/>
          </w:tcPr>
          <w:p w14:paraId="49F88E64">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注：（1）所属专业大类和所属专业类：依据《普通高等职业教育（专科）专业目录》</w:t>
            </w:r>
          </w:p>
          <w:p w14:paraId="1FF50D4A">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（2）对应行业（代码）《国民经济行业分类与代码》（GB/T 4754-2017）</w:t>
            </w:r>
          </w:p>
          <w:p w14:paraId="6AD3B69E">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（3）主要职业类别（代码）：依据《中华人民共和国职业分类大典》（2015版）</w:t>
            </w:r>
          </w:p>
          <w:p w14:paraId="3698434D">
            <w:pPr>
              <w:numPr>
                <w:ilvl w:val="0"/>
                <w:numId w:val="0"/>
              </w:numPr>
              <w:spacing w:after="0" w:line="320" w:lineRule="exact"/>
              <w:ind w:firstLine="420" w:firstLineChars="200"/>
              <w:rPr>
                <w:rFonts w:hint="default" w:ascii="宋体" w:hAnsi="宋体" w:eastAsia="宋体" w:cs="宋体"/>
                <w:sz w:val="18"/>
                <w:szCs w:val="18"/>
                <w:lang w:val="en-US" w:eastAsia="zh-CN"/>
              </w:rPr>
            </w:pPr>
            <w:r>
              <w:rPr>
                <w:rFonts w:hint="eastAsia" w:ascii="宋体" w:hAnsi="宋体" w:eastAsia="宋体" w:cs="宋体"/>
                <w:sz w:val="21"/>
                <w:szCs w:val="21"/>
                <w:lang w:val="en-US" w:eastAsia="zh-CN"/>
              </w:rPr>
              <w:t>（4）职业技能等级证书涵盖但不限于“1+X”的“X</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证书</w:t>
            </w:r>
          </w:p>
        </w:tc>
      </w:tr>
    </w:tbl>
    <w:p w14:paraId="5CE02900">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0" w:firstLineChars="200"/>
        <w:jc w:val="both"/>
        <w:textAlignment w:val="auto"/>
        <w:rPr>
          <w:b/>
          <w:bCs/>
          <w:sz w:val="28"/>
          <w:szCs w:val="28"/>
        </w:rPr>
      </w:pPr>
      <w:bookmarkStart w:id="102" w:name="_Toc7632"/>
      <w:bookmarkStart w:id="103" w:name="_Toc77884974"/>
      <w:bookmarkStart w:id="104" w:name="_Toc77884772"/>
      <w:bookmarkStart w:id="105" w:name="_Toc9438"/>
      <w:bookmarkStart w:id="106" w:name="_Toc9429"/>
      <w:r>
        <w:rPr>
          <w:rFonts w:hint="eastAsia"/>
          <w:b/>
          <w:bCs/>
          <w:sz w:val="28"/>
          <w:szCs w:val="28"/>
          <w:lang w:val="en-US" w:eastAsia="zh-CN"/>
        </w:rPr>
        <w:t>三</w:t>
      </w:r>
      <w:r>
        <w:rPr>
          <w:b/>
          <w:bCs/>
          <w:sz w:val="28"/>
          <w:szCs w:val="28"/>
        </w:rPr>
        <w:t>、培养目标</w:t>
      </w:r>
      <w:bookmarkEnd w:id="102"/>
      <w:bookmarkEnd w:id="103"/>
      <w:bookmarkEnd w:id="104"/>
      <w:bookmarkEnd w:id="105"/>
      <w:bookmarkEnd w:id="106"/>
    </w:p>
    <w:p w14:paraId="7349DB63">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ajorBidi"/>
          <w:b w:val="0"/>
          <w:bCs w:val="0"/>
          <w:sz w:val="24"/>
          <w:szCs w:val="24"/>
          <w:lang w:val="en-US" w:eastAsia="zh-CN" w:bidi="ar-SA"/>
        </w:rPr>
      </w:pPr>
      <w:bookmarkStart w:id="107" w:name="_Toc77884774"/>
      <w:bookmarkStart w:id="108" w:name="_Toc12726"/>
      <w:bookmarkStart w:id="109" w:name="_Toc77884976"/>
      <w:bookmarkStart w:id="110" w:name="_Toc30954"/>
      <w:r>
        <w:rPr>
          <w:rFonts w:hint="eastAsia" w:asciiTheme="minorEastAsia" w:hAnsiTheme="minorEastAsia" w:eastAsiaTheme="minorEastAsia" w:cstheme="majorBidi"/>
          <w:b w:val="0"/>
          <w:bCs w:val="0"/>
          <w:szCs w:val="24"/>
          <w:lang w:val="en-US" w:eastAsia="zh-CN" w:bidi="ar-SA"/>
        </w:rPr>
        <w:t xml:space="preserve">    </w:t>
      </w:r>
      <w:r>
        <w:rPr>
          <w:rFonts w:hint="eastAsia" w:asciiTheme="minorEastAsia" w:hAnsiTheme="minorEastAsia" w:eastAsiaTheme="minorEastAsia" w:cstheme="majorBidi"/>
          <w:b w:val="0"/>
          <w:bCs w:val="0"/>
          <w:sz w:val="24"/>
          <w:szCs w:val="24"/>
          <w:lang w:val="en-US" w:eastAsia="zh-CN" w:bidi="ar-SA"/>
        </w:rPr>
        <w:t xml:space="preserve">本专业培养理想信念坚定，德、智、体、美、劳全面发展，能够践行社会主义核心价值观，传承技能文明，德智体美劳全面发展，具有一定的科学文化水平，良好的人文素养、科学素养、数字素养、职业道德、创新意识，爱岗敬业的职业精神和精益求精的工匠精神，较强的就业能力和可持续发展的能力，掌握本专业知识和技术技能，具备职业综合素质和行动能力，面向物业服务行业的物业管理员、客户服务管理员、管理咨询专业人员等职业，能够从事物业设施设备管理、物业空间维护与营造管理、物业客户服务、物业资产经营和物业服务咨询工作的高素质技术技能人才。 </w:t>
      </w:r>
    </w:p>
    <w:p w14:paraId="7C1A416F">
      <w:pPr>
        <w:pStyle w:val="3"/>
        <w:keepNext w:val="0"/>
        <w:keepLines w:val="0"/>
        <w:pageBreakBefore w:val="0"/>
        <w:widowControl/>
        <w:kinsoku/>
        <w:wordWrap/>
        <w:overflowPunct/>
        <w:topLinePunct w:val="0"/>
        <w:autoSpaceDE/>
        <w:autoSpaceDN/>
        <w:bidi w:val="0"/>
        <w:adjustRightInd/>
        <w:spacing w:after="0"/>
        <w:ind w:firstLine="509" w:firstLineChars="182"/>
        <w:textAlignment w:val="auto"/>
        <w:outlineLvl w:val="0"/>
        <w:rPr>
          <w:sz w:val="28"/>
          <w:szCs w:val="28"/>
        </w:rPr>
      </w:pPr>
      <w:bookmarkStart w:id="111" w:name="_Toc19870"/>
      <w:r>
        <w:rPr>
          <w:rFonts w:hint="eastAsia"/>
          <w:sz w:val="28"/>
          <w:szCs w:val="28"/>
          <w:lang w:val="en-US" w:eastAsia="zh-CN"/>
        </w:rPr>
        <w:t>四、</w:t>
      </w:r>
      <w:r>
        <w:rPr>
          <w:rFonts w:hint="eastAsia"/>
          <w:sz w:val="28"/>
          <w:szCs w:val="28"/>
        </w:rPr>
        <w:t>培养规格</w:t>
      </w:r>
      <w:bookmarkEnd w:id="107"/>
      <w:bookmarkEnd w:id="108"/>
      <w:bookmarkEnd w:id="109"/>
      <w:bookmarkEnd w:id="110"/>
      <w:bookmarkEnd w:id="111"/>
    </w:p>
    <w:p w14:paraId="19E2E99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firstLine="500" w:firstLineChars="200"/>
        <w:jc w:val="both"/>
        <w:textAlignment w:val="auto"/>
        <w:rPr>
          <w:rFonts w:hint="eastAsia" w:ascii="宋体" w:hAnsi="宋体" w:eastAsia="宋体" w:cs="宋体"/>
          <w:sz w:val="24"/>
          <w:szCs w:val="24"/>
          <w:lang w:eastAsia="zh-CN"/>
        </w:rPr>
      </w:pPr>
      <w:bookmarkStart w:id="112" w:name="_Toc9801"/>
      <w:bookmarkStart w:id="113" w:name="_Toc3783"/>
      <w:bookmarkStart w:id="114" w:name="_Toc77884977"/>
      <w:bookmarkStart w:id="115" w:name="_Toc77884775"/>
      <w:bookmarkStart w:id="116" w:name="_Toc23916"/>
      <w:r>
        <w:rPr>
          <w:rFonts w:ascii="宋体" w:hAnsi="宋体" w:eastAsia="宋体" w:cs="宋体"/>
          <w:sz w:val="24"/>
          <w:szCs w:val="24"/>
        </w:rPr>
        <w:t>本专业学生应在系统学习本专业知识并完成有关实习实训基础上，全面提升知识、能力、素质，掌握并实际运用岗位（群）需要的专业核心技术技能，实现德智体美劳全面发展，总体上须达到以下要求：</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ascii="宋体" w:hAnsi="宋体" w:eastAsia="宋体" w:cs="宋体"/>
          <w:sz w:val="24"/>
          <w:szCs w:val="24"/>
        </w:rPr>
        <w:t>坚定拥护中国共产党领导和中国特色社会主义制度，以习近平新时代中国特色社会主义思想为指导，践行社会主义核心价值观，具有坚定的理想信念、深厚的爱国情感和中华民族自豪感；</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ascii="宋体" w:hAnsi="宋体" w:eastAsia="宋体" w:cs="宋体"/>
          <w:sz w:val="24"/>
          <w:szCs w:val="24"/>
        </w:rPr>
        <w:t>掌握与本专业对应职业活动相关的国家法律、行业规定，掌握绿色生产、环境保护、安全防护、质量管理等相关知识与技能，了解相关行业文化，具有爱岗敬业的职业精神，遵守职业道德准则和行为规范，具备社会责任感和担当精神；</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ascii="宋体" w:hAnsi="宋体" w:eastAsia="宋体" w:cs="宋体"/>
          <w:sz w:val="24"/>
          <w:szCs w:val="24"/>
        </w:rPr>
        <w:t>掌握支撑本专业学习和可持续发展必备的语文、数学、外语（英语等）、信息技术等文化基础知识，具有良好的人文素养与科学素养，具备职业生涯规划能力；</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ascii="宋体" w:hAnsi="宋体" w:eastAsia="宋体" w:cs="宋体"/>
          <w:sz w:val="24"/>
          <w:szCs w:val="24"/>
        </w:rPr>
        <w:t>具有良好的语言表达能力、文字表达能力、沟通合作能力，具有较强的集体意识和团队合作意识，学习1门外语并结合本专业加以运用；</w:t>
      </w:r>
      <w:r>
        <w:rPr>
          <w:rFonts w:hint="eastAsia" w:ascii="宋体" w:hAnsi="宋体" w:eastAsia="宋体" w:cs="宋体"/>
          <w:sz w:val="24"/>
          <w:szCs w:val="24"/>
          <w:lang w:eastAsia="zh-CN"/>
        </w:rPr>
        <w:t xml:space="preserve">  </w:t>
      </w:r>
    </w:p>
    <w:p w14:paraId="1E41ED0A">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 xml:space="preserve">  </w:t>
      </w:r>
      <w:r>
        <w:rPr>
          <w:rFonts w:hint="eastAsia" w:ascii="宋体" w:hAnsi="宋体" w:eastAsia="宋体" w:cs="宋体"/>
          <w:sz w:val="24"/>
          <w:szCs w:val="24"/>
          <w:lang w:val="en-US" w:eastAsia="zh-CN"/>
        </w:rPr>
        <w:t xml:space="preserve">  （5）掌握物业设施管理、消防安全管理、智能安防系统、楼宇自动化系统等现代物业核心系统的组成、工作原理及运维标准；  </w:t>
      </w:r>
    </w:p>
    <w:p w14:paraId="0DADEFD8">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（6）掌握物业设备（电梯、给排水、暖通、供配电等）的日常维护、故障诊断与应急处理知识；  </w:t>
      </w:r>
    </w:p>
    <w:p w14:paraId="4CDC82B7">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（7）熟悉物业管理法律法规、物业服务标准及行业规范，掌握物业服务质量评价与改进方法；  </w:t>
      </w:r>
    </w:p>
    <w:p w14:paraId="65785E77">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（8）掌握物业费用测算、预算编制、成本控制及物业资产运营管理的基础理论；  </w:t>
      </w:r>
    </w:p>
    <w:p w14:paraId="20A8C87A">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（9）掌握智慧物业平台（如物联网、大数据分析等）的应用与运维技术。  </w:t>
      </w:r>
    </w:p>
    <w:p w14:paraId="57F15EE5">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（10）具有物业设施设备运行状态监测、维护计划制定及节能优化管理的能力；  </w:t>
      </w:r>
    </w:p>
    <w:p w14:paraId="5DA0975B">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（11）能熟练操作智能安防、消防报警、楼宇自控等系统，并处理常见故障；  </w:t>
      </w:r>
    </w:p>
    <w:p w14:paraId="34FD3818">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（12）具备运用数字化工具（如物业管理系统、移动巡检终端）开展日常服务与数据统计分析的能力；  </w:t>
      </w:r>
    </w:p>
    <w:p w14:paraId="197B9695">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（13）能编制物业管理方案、应急预案及服务标准文件，协调业主与第三方服务单位；  </w:t>
      </w:r>
    </w:p>
    <w:p w14:paraId="5E46ACB2">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（14）具备物业项目招投标、合同管理及客户关系维护的实践能力。  </w:t>
      </w:r>
    </w:p>
    <w:p w14:paraId="76F1B224">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（15） 具备绿色建筑与可持续发展理念，能应用新技术提升物业能效与服务品质；  </w:t>
      </w:r>
    </w:p>
    <w:p w14:paraId="13BE63F0">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（16）掌握信息技术基础知识，适应智慧物业、社区数字化转型需求；  </w:t>
      </w:r>
    </w:p>
    <w:p w14:paraId="08D2F49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（17）具备团队协作与沟通能力，能高效处理业主投诉及突发事件；  </w:t>
      </w:r>
    </w:p>
    <w:p w14:paraId="69EA321E">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（18）具有创新意识，能探索物业运营新模式，掌握探究学习、终身学习和可持续发展的能力，具有整合知识和综合运用知识分析问题和解决问题的能力；</w:t>
      </w:r>
    </w:p>
    <w:p w14:paraId="1BA4CC6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firstLine="250" w:firstLineChars="1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（19）掌握身体运动的基本知识和至少1项体育运动技能，达到国家大学生体质健康测试合格标准，养成良好的运动习惯、卫生习惯和行为习惯；具备一定的心理调适能力：</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 xml:space="preserve">   （21）掌握必备的美育知识，具有一定的文化修养、审美能力，形成至少1项艺术特长或爱好；</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 xml:space="preserve">   （22）树立正确的劳动观，尊重劳动，热爱劳动，具备与本专业职业发展相适应的劳动素养，弘扬劳模精神、劳动精神、工匠精神，弘扬劳动光荣、技能宝贵、创造伟大的时代风尚。</w:t>
      </w:r>
    </w:p>
    <w:p w14:paraId="77F1C464">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0" w:firstLineChars="200"/>
        <w:jc w:val="both"/>
        <w:textAlignment w:val="auto"/>
        <w:rPr>
          <w:rFonts w:hint="eastAsia"/>
          <w:b/>
          <w:bCs/>
          <w:sz w:val="28"/>
          <w:szCs w:val="28"/>
          <w:lang w:val="en-US" w:eastAsia="zh-CN"/>
        </w:rPr>
      </w:pPr>
      <w:r>
        <w:rPr>
          <w:rFonts w:hint="eastAsia"/>
          <w:b/>
          <w:bCs/>
          <w:sz w:val="28"/>
          <w:szCs w:val="28"/>
          <w:lang w:val="en-US" w:eastAsia="zh-CN"/>
        </w:rPr>
        <w:t>五、人才培养模式</w:t>
      </w:r>
      <w:bookmarkEnd w:id="112"/>
    </w:p>
    <w:p w14:paraId="5E7C6E78">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宋体" w:hAnsi="宋体" w:eastAsia="宋体" w:cs="宋体"/>
          <w:b w:val="0"/>
          <w:bCs w:val="0"/>
          <w:sz w:val="24"/>
          <w:szCs w:val="24"/>
          <w:lang w:val="en-US" w:eastAsia="zh-CN"/>
        </w:rPr>
      </w:pPr>
      <w:bookmarkStart w:id="117" w:name="_Toc7937"/>
      <w:r>
        <w:rPr>
          <w:rFonts w:hint="eastAsia" w:ascii="宋体" w:hAnsi="宋体" w:eastAsia="宋体" w:cs="宋体"/>
          <w:b w:val="0"/>
          <w:bCs w:val="0"/>
          <w:sz w:val="24"/>
          <w:szCs w:val="24"/>
          <w:lang w:val="en-US" w:eastAsia="zh-CN"/>
        </w:rPr>
        <w:t>（一）人才培养模式</w:t>
      </w:r>
      <w:bookmarkEnd w:id="117"/>
    </w:p>
    <w:p w14:paraId="70D3944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ascii="宋体" w:hAnsi="宋体" w:eastAsia="宋体" w:cs="宋体"/>
          <w:sz w:val="24"/>
          <w:szCs w:val="24"/>
        </w:rPr>
      </w:pPr>
      <w:r>
        <w:rPr>
          <w:rFonts w:ascii="宋体" w:hAnsi="宋体" w:eastAsia="宋体" w:cs="宋体"/>
          <w:sz w:val="24"/>
          <w:szCs w:val="24"/>
        </w:rPr>
        <w:t>“五育融合” 强调德育、智育、体育、美育、劳育的有机结合，贯穿人才培养全过程。德育培养学生正确的价值观和职业道德，通过思政课程与课程思政同向发力，将职业精神、工匠精神融入日常教学。智育聚焦专业知识与技能传授，以项目式、探究式教学提升学生解决实际问题的能力。体育锻炼学生强健体魄，通过体育课程和课外体育活动，培养学生的毅力与团队协作精神。美育提升学生审美和人文素养，开设艺术鉴赏、设计美学等课程，融入校园文化活动。劳育强化学生劳动观念与实践能力，依托实习实训、创新创业实践等，让学生在劳动中成长。</w:t>
      </w:r>
    </w:p>
    <w:p w14:paraId="4D76C41C">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1660288" behindDoc="0" locked="0" layoutInCell="1" allowOverlap="1">
            <wp:simplePos x="0" y="0"/>
            <wp:positionH relativeFrom="column">
              <wp:posOffset>2077720</wp:posOffset>
            </wp:positionH>
            <wp:positionV relativeFrom="paragraph">
              <wp:posOffset>64770</wp:posOffset>
            </wp:positionV>
            <wp:extent cx="1724660" cy="1724660"/>
            <wp:effectExtent l="0" t="0" r="12700" b="12700"/>
            <wp:wrapNone/>
            <wp:docPr id="1" name="图片 1" descr="72a4ee22453e81a37a92644076103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2a4ee22453e81a37a92644076103de"/>
                    <pic:cNvPicPr>
                      <a:picLocks noChangeAspect="1"/>
                    </pic:cNvPicPr>
                  </pic:nvPicPr>
                  <pic:blipFill>
                    <a:blip r:embed="rId9"/>
                    <a:stretch>
                      <a:fillRect/>
                    </a:stretch>
                  </pic:blipFill>
                  <pic:spPr>
                    <a:xfrm>
                      <a:off x="0" y="0"/>
                      <a:ext cx="1724660" cy="1724660"/>
                    </a:xfrm>
                    <a:prstGeom prst="rect">
                      <a:avLst/>
                    </a:prstGeom>
                  </pic:spPr>
                </pic:pic>
              </a:graphicData>
            </a:graphic>
          </wp:anchor>
        </w:drawing>
      </w:r>
    </w:p>
    <w:p w14:paraId="0B83747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textAlignment w:val="auto"/>
        <w:rPr>
          <w:rFonts w:hint="eastAsia" w:ascii="宋体" w:hAnsi="宋体" w:eastAsia="宋体" w:cs="宋体"/>
          <w:smallCaps w:val="0"/>
          <w:spacing w:val="0"/>
          <w:kern w:val="0"/>
          <w:sz w:val="24"/>
          <w:szCs w:val="24"/>
          <w:lang w:val="en-US" w:eastAsia="zh-CN" w:bidi="ar-SA"/>
        </w:rPr>
      </w:pPr>
    </w:p>
    <w:p w14:paraId="3E0D4200">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textAlignment w:val="auto"/>
        <w:rPr>
          <w:rFonts w:hint="eastAsia" w:ascii="宋体" w:hAnsi="宋体" w:eastAsia="宋体" w:cs="宋体"/>
          <w:smallCaps w:val="0"/>
          <w:spacing w:val="0"/>
          <w:kern w:val="0"/>
          <w:sz w:val="24"/>
          <w:szCs w:val="24"/>
          <w:lang w:val="en-US" w:eastAsia="zh-CN" w:bidi="ar-SA"/>
        </w:rPr>
      </w:pPr>
    </w:p>
    <w:p w14:paraId="30629089">
      <w:pPr>
        <w:numPr>
          <w:ilvl w:val="0"/>
          <w:numId w:val="0"/>
        </w:numPr>
        <w:ind w:firstLine="3360" w:firstLineChars="1600"/>
        <w:jc w:val="both"/>
        <w:rPr>
          <w:rFonts w:hint="eastAsia" w:ascii="宋体" w:hAnsi="宋体" w:eastAsia="宋体" w:cs="宋体"/>
          <w:b/>
          <w:bCs/>
          <w:sz w:val="21"/>
          <w:szCs w:val="21"/>
          <w:lang w:val="en-US" w:eastAsia="zh-CN"/>
        </w:rPr>
      </w:pPr>
    </w:p>
    <w:p w14:paraId="39816B44">
      <w:pPr>
        <w:numPr>
          <w:ilvl w:val="0"/>
          <w:numId w:val="0"/>
        </w:numPr>
        <w:ind w:firstLine="3360" w:firstLineChars="1600"/>
        <w:jc w:val="both"/>
        <w:rPr>
          <w:rFonts w:hint="eastAsia" w:ascii="宋体" w:hAnsi="宋体" w:eastAsia="宋体" w:cs="宋体"/>
          <w:b/>
          <w:bCs/>
          <w:sz w:val="21"/>
          <w:szCs w:val="21"/>
          <w:lang w:val="en-US" w:eastAsia="zh-CN"/>
        </w:rPr>
      </w:pPr>
    </w:p>
    <w:p w14:paraId="22F94C53">
      <w:pPr>
        <w:numPr>
          <w:ilvl w:val="0"/>
          <w:numId w:val="0"/>
        </w:numPr>
        <w:ind w:firstLine="3360" w:firstLineChars="1600"/>
        <w:jc w:val="both"/>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图1：“五育融合”育人模式</w:t>
      </w:r>
    </w:p>
    <w:p w14:paraId="62D1C3D9">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hint="eastAsia" w:ascii="宋体" w:hAnsi="宋体" w:eastAsia="宋体" w:cs="宋体"/>
          <w:smallCaps w:val="0"/>
          <w:spacing w:val="0"/>
          <w:kern w:val="0"/>
          <w:sz w:val="24"/>
          <w:szCs w:val="24"/>
          <w:lang w:val="en-US" w:eastAsia="zh-CN" w:bidi="ar-SA"/>
        </w:rPr>
        <w:t>在现代物业管理专业人才培养的创新实践中，将“岗”作为逻辑起点，“课”作为基本要素，“赛”作为主要动力，“证”作为检验成果。将工作岗位、课程体系、技能竞赛和职业证书的相关标准、内容、过程等要素有效衔接、有机融合，构建“岗课赛证”融通的专业课程体系，实现依岗设课、以赛促课、以证融课、以课育人，基于工作过程系统化设计课程教学，采用线上线下混合式教学模式，使课程教学理实一体、充满活力，培养德技并修、工学结合的技术技能型人才。“岗“”课“”赛“”证”四种育人活动相互融通，注重政校行企多方参与，促学生全面发展，形成了“多维度、深层次、全方位、宽路径”的融通育人模式，共同服务于优化职业教育类型特色、提升技术技能型人才培养质量。</w:t>
      </w:r>
    </w:p>
    <w:p w14:paraId="7D48AA3E">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ascii="宋体" w:hAnsi="宋体" w:eastAsia="宋体" w:cs="宋体"/>
          <w:sz w:val="24"/>
          <w:szCs w:val="24"/>
        </w:rPr>
        <w:t>将“五育融合”与“岗课赛证融通”协同推进，实现全方位育人。在德育中融入职业素养教育，引导学生树立正确职业观；智育中融入岗位技能，提升学生就业竞争力；体育和美育培养学生的综合素质与审美能力，助力学生全面发展；劳育结合岗位实践，增强学生劳动技能。通过这种人才培养模式，为社会输送德技双馨的高素质</w:t>
      </w:r>
      <w:r>
        <w:rPr>
          <w:rFonts w:hint="eastAsia" w:ascii="宋体" w:hAnsi="宋体" w:eastAsia="宋体" w:cs="宋体"/>
          <w:sz w:val="24"/>
          <w:szCs w:val="24"/>
          <w:lang w:eastAsia="zh-CN"/>
        </w:rPr>
        <w:t>现代物业服务</w:t>
      </w:r>
      <w:r>
        <w:rPr>
          <w:rFonts w:ascii="宋体" w:hAnsi="宋体" w:eastAsia="宋体" w:cs="宋体"/>
          <w:sz w:val="24"/>
          <w:szCs w:val="24"/>
        </w:rPr>
        <w:t>人才，推动职业教育高质量发展。</w:t>
      </w:r>
    </w:p>
    <w:p w14:paraId="1AE11216">
      <w:pPr>
        <w:numPr>
          <w:ilvl w:val="0"/>
          <w:numId w:val="2"/>
        </w:numPr>
        <w:ind w:firstLine="480" w:firstLineChars="200"/>
        <w:outlineLvl w:val="1"/>
        <w:rPr>
          <w:rFonts w:hint="eastAsia" w:asciiTheme="majorEastAsia" w:hAnsiTheme="majorEastAsia" w:eastAsiaTheme="majorEastAsia" w:cstheme="majorEastAsia"/>
          <w:b w:val="0"/>
          <w:bCs w:val="0"/>
          <w:sz w:val="24"/>
          <w:szCs w:val="24"/>
          <w:lang w:val="en-US" w:eastAsia="zh-CN"/>
        </w:rPr>
      </w:pPr>
      <w:bookmarkStart w:id="118" w:name="_Toc15028"/>
      <w:r>
        <w:rPr>
          <w:rFonts w:hint="eastAsia" w:asciiTheme="majorEastAsia" w:hAnsiTheme="majorEastAsia" w:eastAsiaTheme="majorEastAsia" w:cstheme="majorEastAsia"/>
          <w:b w:val="0"/>
          <w:bCs w:val="0"/>
          <w:sz w:val="24"/>
          <w:szCs w:val="24"/>
          <w:lang w:val="en-US" w:eastAsia="zh-CN"/>
        </w:rPr>
        <w:t>课程体系结构</w:t>
      </w:r>
      <w:bookmarkEnd w:id="118"/>
    </w:p>
    <w:p w14:paraId="3EBB0BD6">
      <w:pPr>
        <w:numPr>
          <w:ilvl w:val="0"/>
          <w:numId w:val="0"/>
        </w:numPr>
        <w:jc w:val="center"/>
        <w:outlineLvl w:val="1"/>
        <w:rPr>
          <w:rFonts w:hint="eastAsia" w:eastAsiaTheme="majorEastAsia"/>
          <w:sz w:val="21"/>
          <w:szCs w:val="21"/>
          <w:lang w:eastAsia="zh-CN"/>
        </w:rPr>
      </w:pPr>
      <w:bookmarkStart w:id="380" w:name="_GoBack"/>
      <w:r>
        <w:drawing>
          <wp:inline distT="0" distB="0" distL="114300" distR="114300">
            <wp:extent cx="4914900" cy="30289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rcRect t="4216" b="3947"/>
                    <a:stretch>
                      <a:fillRect/>
                    </a:stretch>
                  </pic:blipFill>
                  <pic:spPr>
                    <a:xfrm>
                      <a:off x="0" y="0"/>
                      <a:ext cx="4914900" cy="3028950"/>
                    </a:xfrm>
                    <a:prstGeom prst="rect">
                      <a:avLst/>
                    </a:prstGeom>
                    <a:noFill/>
                    <a:ln>
                      <a:noFill/>
                    </a:ln>
                  </pic:spPr>
                </pic:pic>
              </a:graphicData>
            </a:graphic>
          </wp:inline>
        </w:drawing>
      </w:r>
      <w:bookmarkEnd w:id="380"/>
    </w:p>
    <w:p w14:paraId="274794FA">
      <w:pPr>
        <w:pStyle w:val="2"/>
        <w:snapToGrid w:val="0"/>
        <w:spacing w:before="156" w:beforeLines="50" w:after="156" w:afterLines="50" w:line="440" w:lineRule="exact"/>
        <w:ind w:firstLine="3520" w:firstLineChars="1600"/>
        <w:jc w:val="both"/>
        <w:outlineLvl w:val="2"/>
        <w:rPr>
          <w:rFonts w:hint="eastAsia" w:ascii="宋体" w:hAnsi="宋体" w:cs="宋体" w:eastAsiaTheme="majorEastAsia"/>
          <w:b w:val="0"/>
          <w:bCs w:val="0"/>
          <w:smallCaps w:val="0"/>
          <w:spacing w:val="0"/>
          <w:sz w:val="21"/>
          <w:szCs w:val="21"/>
          <w:lang w:val="en-US" w:eastAsia="zh-CN" w:bidi="ar-SA"/>
        </w:rPr>
      </w:pPr>
      <w:bookmarkStart w:id="119" w:name="_Toc28470"/>
      <w:bookmarkStart w:id="120" w:name="_Toc15871"/>
      <w:r>
        <w:rPr>
          <w:rFonts w:hint="eastAsia" w:asciiTheme="minorEastAsia" w:hAnsiTheme="minorEastAsia" w:eastAsiaTheme="minorEastAsia" w:cstheme="minorEastAsia"/>
          <w:b/>
          <w:bCs/>
          <w:sz w:val="21"/>
          <w:szCs w:val="21"/>
          <w:lang w:val="en-US" w:eastAsia="zh-CN"/>
        </w:rPr>
        <w:t>图3</w:t>
      </w:r>
      <w:r>
        <w:rPr>
          <w:rFonts w:hint="eastAsia" w:asciiTheme="minorEastAsia" w:hAnsiTheme="minorEastAsia" w:eastAsiaTheme="minorEastAsia" w:cstheme="minorEastAsia"/>
          <w:b/>
          <w:bCs/>
          <w:spacing w:val="-55"/>
          <w:sz w:val="21"/>
          <w:szCs w:val="21"/>
          <w:lang w:val="en-US" w:eastAsia="zh-CN"/>
        </w:rPr>
        <w:t>：</w:t>
      </w:r>
      <w:r>
        <w:rPr>
          <w:rFonts w:hint="eastAsia" w:asciiTheme="minorEastAsia" w:hAnsiTheme="minorEastAsia" w:eastAsiaTheme="minorEastAsia" w:cstheme="minorEastAsia"/>
          <w:b/>
          <w:bCs/>
          <w:sz w:val="21"/>
          <w:szCs w:val="21"/>
          <w:lang w:val="en-US" w:eastAsia="zh-CN"/>
        </w:rPr>
        <w:t>课程体系结构图</w:t>
      </w:r>
      <w:bookmarkEnd w:id="119"/>
      <w:bookmarkEnd w:id="120"/>
    </w:p>
    <w:p w14:paraId="6AA228CA">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hint="eastAsia" w:asciiTheme="majorEastAsia" w:hAnsiTheme="majorEastAsia" w:eastAsiaTheme="majorEastAsia" w:cstheme="majorEastAsia"/>
          <w:b w:val="0"/>
          <w:bCs w:val="0"/>
          <w:smallCaps w:val="0"/>
          <w:spacing w:val="0"/>
          <w:sz w:val="24"/>
          <w:szCs w:val="24"/>
          <w:lang w:val="en-US" w:eastAsia="zh-CN" w:bidi="ar-SA"/>
        </w:rPr>
      </w:pPr>
      <w:bookmarkStart w:id="121" w:name="_Toc2374"/>
      <w:r>
        <w:rPr>
          <w:rFonts w:hint="eastAsia" w:asciiTheme="majorEastAsia" w:hAnsiTheme="majorEastAsia" w:eastAsiaTheme="majorEastAsia" w:cstheme="majorEastAsia"/>
          <w:b w:val="0"/>
          <w:bCs w:val="0"/>
          <w:smallCaps w:val="0"/>
          <w:spacing w:val="0"/>
          <w:sz w:val="24"/>
          <w:szCs w:val="24"/>
          <w:lang w:val="en-US" w:eastAsia="zh-CN" w:bidi="ar-SA"/>
        </w:rPr>
        <w:t>（三）课程设置及要求</w:t>
      </w:r>
      <w:bookmarkEnd w:id="113"/>
      <w:bookmarkEnd w:id="114"/>
      <w:bookmarkEnd w:id="115"/>
      <w:bookmarkEnd w:id="116"/>
      <w:bookmarkEnd w:id="121"/>
    </w:p>
    <w:p w14:paraId="595DAC4E">
      <w:pPr>
        <w:keepNext w:val="0"/>
        <w:keepLines w:val="0"/>
        <w:pageBreakBefore w:val="0"/>
        <w:widowControl/>
        <w:kinsoku/>
        <w:wordWrap/>
        <w:overflowPunct w:val="0"/>
        <w:topLinePunct w:val="0"/>
        <w:autoSpaceDE/>
        <w:autoSpaceDN/>
        <w:bidi w:val="0"/>
        <w:adjustRightInd w:val="0"/>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全面推进习近平新时代中国特色社会主义思想进教材进课堂进头脑，培育和践行社会主义核心价值观，深化职业理想和职业道德教育，按规定开齐开足公共基础必修课程、专业基础课程、专业核心课程，结合不同课程的教学内容和教学特点，深入挖掘课程思政元素，有机融入各类课程的课堂授课、教学研讨、实验实训、作业论文等各环节，达到润物无声的育人效果。加强专业实训教学，突出专业特色开设人文素养、科学素养、体育艺术素养、专业综合能力提升等选修课程、拓展课程或专题讲座，积极组织学生参加劳动实践、创新创业实践、志愿服务及其他社会公益活动，将知识、技能、素养教育</w:t>
      </w:r>
      <w:r>
        <w:rPr>
          <w:rFonts w:hint="eastAsia" w:asciiTheme="minorEastAsia" w:hAnsiTheme="minorEastAsia" w:eastAsiaTheme="minorEastAsia"/>
          <w:sz w:val="24"/>
          <w:szCs w:val="24"/>
          <w:lang w:eastAsia="zh-CN"/>
        </w:rPr>
        <w:t>融入</w:t>
      </w:r>
      <w:r>
        <w:rPr>
          <w:rFonts w:hint="eastAsia" w:asciiTheme="minorEastAsia" w:hAnsiTheme="minorEastAsia" w:eastAsiaTheme="minorEastAsia"/>
          <w:sz w:val="24"/>
          <w:szCs w:val="24"/>
        </w:rPr>
        <w:t>专业教学和社会实践。</w:t>
      </w:r>
    </w:p>
    <w:p w14:paraId="56A1285E">
      <w:pPr>
        <w:pStyle w:val="3"/>
        <w:keepNext w:val="0"/>
        <w:keepLines w:val="0"/>
        <w:pageBreakBefore w:val="0"/>
        <w:widowControl/>
        <w:kinsoku/>
        <w:wordWrap/>
        <w:topLinePunct w:val="0"/>
        <w:autoSpaceDE/>
        <w:autoSpaceDN/>
        <w:bidi w:val="0"/>
        <w:spacing w:after="0"/>
        <w:ind w:firstLine="482"/>
        <w:textAlignment w:val="auto"/>
        <w:outlineLvl w:val="2"/>
      </w:pPr>
      <w:bookmarkStart w:id="122" w:name="_Toc32476"/>
      <w:bookmarkStart w:id="123" w:name="_Toc77884776"/>
      <w:bookmarkStart w:id="124" w:name="_Toc13971"/>
      <w:bookmarkStart w:id="125" w:name="_Toc28644"/>
      <w:bookmarkStart w:id="126" w:name="_Toc77884978"/>
      <w:bookmarkStart w:id="127" w:name="_Toc21757"/>
      <w:r>
        <w:rPr>
          <w:rFonts w:hint="eastAsia"/>
          <w:lang w:val="en-US" w:eastAsia="zh-CN"/>
        </w:rPr>
        <w:t>1.</w:t>
      </w:r>
      <w:r>
        <w:rPr>
          <w:rFonts w:hint="eastAsia"/>
        </w:rPr>
        <w:t>公共基础课程设置及要求</w:t>
      </w:r>
      <w:bookmarkEnd w:id="122"/>
      <w:bookmarkEnd w:id="123"/>
      <w:bookmarkEnd w:id="124"/>
      <w:bookmarkEnd w:id="125"/>
      <w:bookmarkEnd w:id="126"/>
      <w:bookmarkEnd w:id="127"/>
      <w:bookmarkStart w:id="128" w:name="_Toc102927438"/>
      <w:bookmarkStart w:id="129" w:name="_Toc102927734"/>
    </w:p>
    <w:p w14:paraId="458C88D2">
      <w:pPr>
        <w:pStyle w:val="25"/>
      </w:pPr>
      <w:r>
        <w:t>表</w:t>
      </w:r>
      <w:r>
        <w:rPr>
          <w:spacing w:val="-55"/>
        </w:rPr>
        <w:t xml:space="preserve"> </w:t>
      </w:r>
      <w:r>
        <w:t>4</w:t>
      </w:r>
      <w:r>
        <w:rPr>
          <w:rFonts w:hint="eastAsia"/>
        </w:rPr>
        <w:t>：公共基础课</w:t>
      </w:r>
      <w:bookmarkEnd w:id="128"/>
      <w:bookmarkEnd w:id="129"/>
    </w:p>
    <w:tbl>
      <w:tblPr>
        <w:tblStyle w:val="14"/>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7"/>
        <w:gridCol w:w="985"/>
        <w:gridCol w:w="7222"/>
        <w:gridCol w:w="689"/>
      </w:tblGrid>
      <w:tr w14:paraId="22703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219" w:type="pct"/>
            <w:tcBorders>
              <w:tl2br w:val="nil"/>
              <w:tr2bl w:val="nil"/>
            </w:tcBorders>
            <w:shd w:val="clear" w:color="auto" w:fill="DEEBF6" w:themeFill="accent1" w:themeFillTint="32"/>
            <w:vAlign w:val="center"/>
          </w:tcPr>
          <w:p w14:paraId="1EA9135E">
            <w:pPr>
              <w:spacing w:after="0" w:line="320" w:lineRule="exact"/>
              <w:jc w:val="center"/>
              <w:rPr>
                <w:rFonts w:cs="仿宋" w:asciiTheme="minorEastAsia" w:hAnsiTheme="minorEastAsia" w:eastAsiaTheme="minorEastAsia"/>
                <w:b/>
                <w:bCs/>
                <w:sz w:val="18"/>
                <w:szCs w:val="18"/>
              </w:rPr>
            </w:pPr>
            <w:bookmarkStart w:id="130" w:name="_Toc4419"/>
            <w:bookmarkStart w:id="131" w:name="_Toc8200"/>
            <w:bookmarkStart w:id="132" w:name="_Toc7926"/>
            <w:r>
              <w:rPr>
                <w:rFonts w:hint="eastAsia" w:cs="仿宋" w:asciiTheme="minorEastAsia" w:hAnsiTheme="minorEastAsia" w:eastAsiaTheme="minorEastAsia"/>
                <w:b/>
                <w:bCs/>
                <w:sz w:val="18"/>
                <w:szCs w:val="18"/>
              </w:rPr>
              <w:t>序</w:t>
            </w:r>
            <w:bookmarkEnd w:id="130"/>
            <w:bookmarkEnd w:id="131"/>
            <w:bookmarkEnd w:id="132"/>
            <w:r>
              <w:rPr>
                <w:rFonts w:hint="eastAsia" w:cs="仿宋" w:asciiTheme="minorEastAsia" w:hAnsiTheme="minorEastAsia" w:eastAsiaTheme="minorEastAsia"/>
                <w:b/>
                <w:bCs/>
                <w:sz w:val="18"/>
                <w:szCs w:val="18"/>
              </w:rPr>
              <w:t>号</w:t>
            </w:r>
          </w:p>
        </w:tc>
        <w:tc>
          <w:tcPr>
            <w:tcW w:w="529" w:type="pct"/>
            <w:tcBorders>
              <w:tl2br w:val="nil"/>
              <w:tr2bl w:val="nil"/>
            </w:tcBorders>
            <w:shd w:val="clear" w:color="auto" w:fill="DEEBF6" w:themeFill="accent1" w:themeFillTint="32"/>
            <w:vAlign w:val="center"/>
          </w:tcPr>
          <w:p w14:paraId="645B5AC1">
            <w:pPr>
              <w:spacing w:after="0" w:line="320" w:lineRule="exact"/>
              <w:jc w:val="center"/>
              <w:rPr>
                <w:rFonts w:cs="仿宋" w:asciiTheme="minorEastAsia" w:hAnsiTheme="minorEastAsia" w:eastAsiaTheme="minorEastAsia"/>
                <w:b/>
                <w:bCs/>
                <w:sz w:val="18"/>
                <w:szCs w:val="18"/>
              </w:rPr>
            </w:pPr>
            <w:bookmarkStart w:id="133" w:name="_Toc11165"/>
            <w:bookmarkStart w:id="134" w:name="_Toc32402"/>
            <w:bookmarkStart w:id="135" w:name="_Toc10785"/>
            <w:r>
              <w:rPr>
                <w:rFonts w:hint="eastAsia" w:cs="仿宋" w:asciiTheme="minorEastAsia" w:hAnsiTheme="minorEastAsia" w:eastAsiaTheme="minorEastAsia"/>
                <w:b/>
                <w:bCs/>
                <w:sz w:val="18"/>
                <w:szCs w:val="18"/>
              </w:rPr>
              <w:t>公共基础课程</w:t>
            </w:r>
            <w:bookmarkEnd w:id="133"/>
            <w:bookmarkEnd w:id="134"/>
            <w:bookmarkEnd w:id="135"/>
          </w:p>
        </w:tc>
        <w:tc>
          <w:tcPr>
            <w:tcW w:w="3880" w:type="pct"/>
            <w:tcBorders>
              <w:tl2br w:val="nil"/>
              <w:tr2bl w:val="nil"/>
            </w:tcBorders>
            <w:shd w:val="clear" w:color="auto" w:fill="DEEBF6" w:themeFill="accent1" w:themeFillTint="32"/>
            <w:vAlign w:val="center"/>
          </w:tcPr>
          <w:p w14:paraId="1DE3163D">
            <w:pPr>
              <w:spacing w:after="0" w:line="320" w:lineRule="exact"/>
              <w:jc w:val="center"/>
              <w:rPr>
                <w:rFonts w:cs="仿宋" w:asciiTheme="minorEastAsia" w:hAnsiTheme="minorEastAsia" w:eastAsiaTheme="minorEastAsia"/>
                <w:b/>
                <w:bCs/>
                <w:sz w:val="18"/>
                <w:szCs w:val="18"/>
              </w:rPr>
            </w:pPr>
            <w:bookmarkStart w:id="136" w:name="_Toc4287"/>
            <w:bookmarkStart w:id="137" w:name="_Toc2264"/>
            <w:bookmarkStart w:id="138" w:name="_Toc21327"/>
            <w:r>
              <w:rPr>
                <w:rFonts w:hint="eastAsia" w:cs="仿宋" w:asciiTheme="minorEastAsia" w:hAnsiTheme="minorEastAsia" w:eastAsiaTheme="minorEastAsia"/>
                <w:b/>
                <w:bCs/>
                <w:sz w:val="18"/>
                <w:szCs w:val="18"/>
              </w:rPr>
              <w:t>主要教学内容与要求</w:t>
            </w:r>
            <w:bookmarkEnd w:id="136"/>
            <w:bookmarkEnd w:id="137"/>
            <w:bookmarkEnd w:id="138"/>
          </w:p>
        </w:tc>
        <w:tc>
          <w:tcPr>
            <w:tcW w:w="370" w:type="pct"/>
            <w:tcBorders>
              <w:tl2br w:val="nil"/>
              <w:tr2bl w:val="nil"/>
            </w:tcBorders>
            <w:shd w:val="clear" w:color="auto" w:fill="DEEBF6" w:themeFill="accent1" w:themeFillTint="32"/>
            <w:vAlign w:val="center"/>
          </w:tcPr>
          <w:p w14:paraId="5A1E9B6E">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参考</w:t>
            </w:r>
          </w:p>
          <w:p w14:paraId="55D38F93">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学时</w:t>
            </w:r>
          </w:p>
        </w:tc>
      </w:tr>
      <w:tr w14:paraId="3A77B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219" w:type="pct"/>
            <w:tcBorders>
              <w:tl2br w:val="nil"/>
              <w:tr2bl w:val="nil"/>
            </w:tcBorders>
            <w:vAlign w:val="center"/>
          </w:tcPr>
          <w:p w14:paraId="135BE57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529" w:type="pct"/>
            <w:tcBorders>
              <w:tl2br w:val="nil"/>
              <w:tr2bl w:val="nil"/>
            </w:tcBorders>
            <w:vAlign w:val="center"/>
          </w:tcPr>
          <w:p w14:paraId="6E1FDEF2">
            <w:pPr>
              <w:spacing w:after="0" w:line="320" w:lineRule="exact"/>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rPr>
              <w:t>思想道德修养与法律基础</w:t>
            </w:r>
          </w:p>
        </w:tc>
        <w:tc>
          <w:tcPr>
            <w:tcW w:w="3880" w:type="pct"/>
            <w:tcBorders>
              <w:tl2br w:val="nil"/>
              <w:tr2bl w:val="nil"/>
            </w:tcBorders>
          </w:tcPr>
          <w:p w14:paraId="624503D7">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是以马列主义、毛泽东思想、邓小平理论和“三个代表”为指导，以理想信念教育为核心、爱国主义教育为主线、人生观、价值观、道德观和法制观等方面的教育为主要内容，综合运用相关学科知识，依据高职院校学生成长的基本规律，教导、引导大学生加强自身思想道德修养和法律素养的一门公共课基础学科。</w:t>
            </w:r>
          </w:p>
        </w:tc>
        <w:tc>
          <w:tcPr>
            <w:tcW w:w="370" w:type="pct"/>
            <w:tcBorders>
              <w:tl2br w:val="nil"/>
              <w:tr2bl w:val="nil"/>
            </w:tcBorders>
            <w:vAlign w:val="center"/>
          </w:tcPr>
          <w:p w14:paraId="7C405BB6">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653B5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219" w:type="pct"/>
            <w:tcBorders>
              <w:tl2br w:val="nil"/>
              <w:tr2bl w:val="nil"/>
            </w:tcBorders>
            <w:vAlign w:val="center"/>
          </w:tcPr>
          <w:p w14:paraId="64A1422A">
            <w:pPr>
              <w:spacing w:after="0" w:line="320" w:lineRule="exact"/>
              <w:jc w:val="center"/>
              <w:rPr>
                <w:rFonts w:cs="仿宋" w:asciiTheme="minorEastAsia" w:hAnsiTheme="minorEastAsia" w:eastAsiaTheme="minorEastAsia"/>
                <w:sz w:val="18"/>
                <w:szCs w:val="18"/>
              </w:rPr>
            </w:pPr>
            <w:bookmarkStart w:id="139" w:name="_Toc13811"/>
            <w:bookmarkStart w:id="140" w:name="_Toc26704"/>
            <w:bookmarkStart w:id="141" w:name="_Toc8098"/>
            <w:r>
              <w:rPr>
                <w:rFonts w:hint="eastAsia" w:cs="仿宋" w:asciiTheme="minorEastAsia" w:hAnsiTheme="minorEastAsia" w:eastAsiaTheme="minorEastAsia"/>
                <w:sz w:val="18"/>
                <w:szCs w:val="18"/>
              </w:rPr>
              <w:t>2</w:t>
            </w:r>
            <w:bookmarkEnd w:id="139"/>
            <w:bookmarkEnd w:id="140"/>
            <w:bookmarkEnd w:id="141"/>
          </w:p>
        </w:tc>
        <w:tc>
          <w:tcPr>
            <w:tcW w:w="529" w:type="pct"/>
            <w:tcBorders>
              <w:tl2br w:val="nil"/>
              <w:tr2bl w:val="nil"/>
            </w:tcBorders>
            <w:vAlign w:val="center"/>
          </w:tcPr>
          <w:p w14:paraId="7908C5E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毛泽东思想和中国特色社会主义理论体系概论</w:t>
            </w:r>
          </w:p>
        </w:tc>
        <w:tc>
          <w:tcPr>
            <w:tcW w:w="3880" w:type="pct"/>
            <w:tcBorders>
              <w:tl2br w:val="nil"/>
              <w:tr2bl w:val="nil"/>
            </w:tcBorders>
          </w:tcPr>
          <w:p w14:paraId="7CB1E876">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w:t>
            </w:r>
            <w:r>
              <w:rPr>
                <w:rFonts w:hint="eastAsia" w:cs="仿宋" w:asciiTheme="minorEastAsia" w:hAnsiTheme="minorEastAsia" w:eastAsiaTheme="minorEastAsia"/>
                <w:sz w:val="18"/>
                <w:szCs w:val="18"/>
                <w:u w:color="FFFFFF" w:themeColor="background1"/>
                <w:lang w:val="en-US" w:eastAsia="zh-CN"/>
              </w:rPr>
              <w:t>以中国化的马克思主义为主体</w:t>
            </w:r>
            <w:r>
              <w:rPr>
                <w:rFonts w:hint="eastAsia" w:cs="仿宋" w:asciiTheme="minorEastAsia" w:hAnsiTheme="minorEastAsia" w:eastAsiaTheme="minorEastAsia"/>
                <w:sz w:val="18"/>
                <w:szCs w:val="18"/>
                <w:u w:color="FFFFFF" w:themeColor="background1"/>
              </w:rPr>
              <w:t>，</w:t>
            </w:r>
            <w:r>
              <w:rPr>
                <w:rFonts w:hint="eastAsia" w:cs="仿宋" w:asciiTheme="minorEastAsia" w:hAnsiTheme="minorEastAsia" w:eastAsiaTheme="minorEastAsia"/>
                <w:sz w:val="18"/>
                <w:szCs w:val="18"/>
                <w:u w:color="FFFFFF" w:themeColor="background1"/>
                <w:lang w:val="en-US" w:eastAsia="zh-CN"/>
              </w:rPr>
              <w:t>以马克思主义中国化为主线，以中国特色社会主义为重点，着重介绍中国共产党将马克思主义基本原理与中国国情相结合的历史进程，以及马克思主义中国化两大理论成果及毛泽东思想和中国特色社会主义理论体系等相关内容，</w:t>
            </w:r>
            <w:r>
              <w:rPr>
                <w:rFonts w:hint="eastAsia" w:cs="仿宋" w:asciiTheme="minorEastAsia" w:hAnsiTheme="minorEastAsia" w:eastAsiaTheme="minorEastAsia"/>
                <w:sz w:val="18"/>
                <w:szCs w:val="18"/>
                <w:u w:color="FFFFFF" w:themeColor="background1"/>
              </w:rPr>
              <w:t>帮助大学生树立</w:t>
            </w:r>
            <w:r>
              <w:rPr>
                <w:rFonts w:hint="eastAsia" w:cs="仿宋" w:asciiTheme="minorEastAsia" w:hAnsiTheme="minorEastAsia" w:eastAsiaTheme="minorEastAsia"/>
                <w:sz w:val="18"/>
                <w:szCs w:val="18"/>
                <w:u w:color="FFFFFF" w:themeColor="background1"/>
                <w:lang w:eastAsia="zh-CN"/>
              </w:rPr>
              <w:t>中国特色社会主义共同理想</w:t>
            </w:r>
            <w:r>
              <w:rPr>
                <w:rFonts w:hint="eastAsia" w:cs="仿宋" w:asciiTheme="minorEastAsia" w:hAnsiTheme="minorEastAsia" w:eastAsiaTheme="minorEastAsia"/>
                <w:sz w:val="18"/>
                <w:szCs w:val="18"/>
                <w:u w:color="FFFFFF" w:themeColor="background1"/>
              </w:rPr>
              <w:t>与信念，</w:t>
            </w:r>
            <w:r>
              <w:rPr>
                <w:rFonts w:hint="eastAsia" w:cs="仿宋" w:asciiTheme="minorEastAsia" w:hAnsiTheme="minorEastAsia" w:eastAsiaTheme="minorEastAsia"/>
                <w:sz w:val="18"/>
                <w:szCs w:val="18"/>
                <w:u w:color="FFFFFF" w:themeColor="background1"/>
                <w:lang w:val="en-US" w:eastAsia="zh-CN"/>
              </w:rPr>
              <w:t>从而坚定走中国特色社会主义道路的理想信念</w:t>
            </w:r>
            <w:r>
              <w:rPr>
                <w:rFonts w:hint="eastAsia" w:cs="仿宋" w:asciiTheme="minorEastAsia" w:hAnsiTheme="minorEastAsia" w:eastAsiaTheme="minorEastAsia"/>
                <w:sz w:val="18"/>
                <w:szCs w:val="18"/>
                <w:u w:color="FFFFFF" w:themeColor="background1"/>
              </w:rPr>
              <w:t>。</w:t>
            </w:r>
          </w:p>
        </w:tc>
        <w:tc>
          <w:tcPr>
            <w:tcW w:w="370" w:type="pct"/>
            <w:tcBorders>
              <w:tl2br w:val="nil"/>
              <w:tr2bl w:val="nil"/>
            </w:tcBorders>
            <w:vAlign w:val="center"/>
          </w:tcPr>
          <w:p w14:paraId="419B5B8F">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4241E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47405C15">
            <w:pPr>
              <w:spacing w:after="0" w:line="320" w:lineRule="exact"/>
              <w:jc w:val="center"/>
              <w:rPr>
                <w:rFonts w:cs="仿宋" w:asciiTheme="minorEastAsia" w:hAnsiTheme="minorEastAsia" w:eastAsiaTheme="minorEastAsia"/>
                <w:sz w:val="18"/>
                <w:szCs w:val="18"/>
              </w:rPr>
            </w:pPr>
            <w:bookmarkStart w:id="142" w:name="_Toc26954"/>
            <w:bookmarkStart w:id="143" w:name="_Toc21331"/>
            <w:bookmarkStart w:id="144" w:name="_Toc15196"/>
            <w:r>
              <w:rPr>
                <w:rFonts w:hint="eastAsia" w:cs="仿宋" w:asciiTheme="minorEastAsia" w:hAnsiTheme="minorEastAsia" w:eastAsiaTheme="minorEastAsia"/>
                <w:sz w:val="18"/>
                <w:szCs w:val="18"/>
              </w:rPr>
              <w:t>3</w:t>
            </w:r>
            <w:bookmarkEnd w:id="142"/>
            <w:bookmarkEnd w:id="143"/>
            <w:bookmarkEnd w:id="144"/>
          </w:p>
        </w:tc>
        <w:tc>
          <w:tcPr>
            <w:tcW w:w="529" w:type="pct"/>
            <w:tcBorders>
              <w:tl2br w:val="nil"/>
              <w:tr2bl w:val="nil"/>
            </w:tcBorders>
            <w:vAlign w:val="center"/>
          </w:tcPr>
          <w:p w14:paraId="675CD65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形势与政策</w:t>
            </w:r>
          </w:p>
        </w:tc>
        <w:tc>
          <w:tcPr>
            <w:tcW w:w="3880" w:type="pct"/>
            <w:tcBorders>
              <w:tl2br w:val="nil"/>
              <w:tr2bl w:val="nil"/>
            </w:tcBorders>
          </w:tcPr>
          <w:p w14:paraId="685F71A1">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课程以马列主义、毛泽东思想、邓小平理论和“三个代表”重要思想为指导，针对学生关注的热点问题和思想特点，帮助学生认清国内外形势，教育和引导学生全面</w:t>
            </w:r>
            <w:r>
              <w:rPr>
                <w:rFonts w:hint="eastAsia" w:cs="仿宋" w:asciiTheme="minorEastAsia" w:hAnsiTheme="minorEastAsia" w:eastAsiaTheme="minorEastAsia"/>
                <w:sz w:val="18"/>
                <w:szCs w:val="18"/>
                <w:u w:color="FFFFFF" w:themeColor="background1"/>
                <w:lang w:eastAsia="zh-CN"/>
              </w:rPr>
              <w:t>准确</w:t>
            </w:r>
            <w:r>
              <w:rPr>
                <w:rFonts w:hint="eastAsia" w:cs="仿宋" w:asciiTheme="minorEastAsia" w:hAnsiTheme="minorEastAsia" w:eastAsiaTheme="minorEastAsia"/>
                <w:sz w:val="18"/>
                <w:szCs w:val="18"/>
                <w:u w:color="FFFFFF" w:themeColor="background1"/>
              </w:rPr>
              <w:t>理解</w:t>
            </w:r>
            <w:r>
              <w:rPr>
                <w:rFonts w:hint="eastAsia" w:cs="仿宋" w:asciiTheme="minorEastAsia" w:hAnsiTheme="minorEastAsia" w:eastAsiaTheme="minorEastAsia"/>
                <w:sz w:val="18"/>
                <w:szCs w:val="18"/>
                <w:u w:color="FFFFFF" w:themeColor="background1"/>
                <w:lang w:eastAsia="zh-CN"/>
              </w:rPr>
              <w:t>党的路线方针政策</w:t>
            </w:r>
            <w:r>
              <w:rPr>
                <w:rFonts w:hint="eastAsia" w:cs="仿宋" w:asciiTheme="minorEastAsia" w:hAnsiTheme="minorEastAsia" w:eastAsiaTheme="minorEastAsia"/>
                <w:sz w:val="18"/>
                <w:szCs w:val="18"/>
                <w:u w:color="FFFFFF" w:themeColor="background1"/>
              </w:rPr>
              <w:t>，坚定在中国共产党领导下走中国特色社会主义道路的信心和决心，积极投身改革开放和现代化建设伟大事业。</w:t>
            </w:r>
          </w:p>
        </w:tc>
        <w:tc>
          <w:tcPr>
            <w:tcW w:w="370" w:type="pct"/>
            <w:tcBorders>
              <w:tl2br w:val="nil"/>
              <w:tr2bl w:val="nil"/>
            </w:tcBorders>
            <w:vAlign w:val="center"/>
          </w:tcPr>
          <w:p w14:paraId="5F073108">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36</w:t>
            </w:r>
          </w:p>
        </w:tc>
      </w:tr>
      <w:tr w14:paraId="006B5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1A706FA7">
            <w:pPr>
              <w:spacing w:after="0" w:line="320" w:lineRule="exact"/>
              <w:jc w:val="center"/>
              <w:rPr>
                <w:rFonts w:cs="仿宋" w:asciiTheme="minorEastAsia" w:hAnsiTheme="minorEastAsia" w:eastAsiaTheme="minorEastAsia"/>
                <w:sz w:val="18"/>
                <w:szCs w:val="18"/>
              </w:rPr>
            </w:pPr>
            <w:bookmarkStart w:id="145" w:name="_Toc10706"/>
            <w:bookmarkStart w:id="146" w:name="_Toc27112"/>
            <w:bookmarkStart w:id="147" w:name="_Toc17036"/>
            <w:r>
              <w:rPr>
                <w:rFonts w:hint="eastAsia" w:cs="仿宋" w:asciiTheme="minorEastAsia" w:hAnsiTheme="minorEastAsia" w:eastAsiaTheme="minorEastAsia"/>
                <w:sz w:val="18"/>
                <w:szCs w:val="18"/>
              </w:rPr>
              <w:t>4</w:t>
            </w:r>
            <w:bookmarkEnd w:id="145"/>
            <w:bookmarkEnd w:id="146"/>
            <w:bookmarkEnd w:id="147"/>
          </w:p>
        </w:tc>
        <w:tc>
          <w:tcPr>
            <w:tcW w:w="529" w:type="pct"/>
            <w:tcBorders>
              <w:tl2br w:val="nil"/>
              <w:tr2bl w:val="nil"/>
            </w:tcBorders>
            <w:vAlign w:val="center"/>
          </w:tcPr>
          <w:p w14:paraId="05E11207">
            <w:pPr>
              <w:spacing w:after="0" w:line="320" w:lineRule="exact"/>
              <w:jc w:val="center"/>
              <w:rPr>
                <w:rFonts w:cs="仿宋" w:asciiTheme="minorEastAsia" w:hAnsiTheme="minorEastAsia" w:eastAsiaTheme="minorEastAsia"/>
                <w:sz w:val="18"/>
                <w:szCs w:val="18"/>
              </w:rPr>
            </w:pPr>
            <w:r>
              <w:rPr>
                <w:rFonts w:hint="eastAsia"/>
                <w:sz w:val="18"/>
                <w:szCs w:val="18"/>
              </w:rPr>
              <w:t>大学语文</w:t>
            </w:r>
          </w:p>
        </w:tc>
        <w:tc>
          <w:tcPr>
            <w:tcW w:w="3880" w:type="pct"/>
            <w:tcBorders>
              <w:tl2br w:val="nil"/>
              <w:tr2bl w:val="nil"/>
            </w:tcBorders>
          </w:tcPr>
          <w:p w14:paraId="27BCDD62">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以听、说、读、写为基本载体，着重培养学生的阅读与理解，表达与交流等语文应用能力，是融思想性、知识性、审美性、人文性于一体，提高学生文化素养和职业基本素质，提升学生思想品质和审美悟性必修的公共基础课程。本课程对提高学生的职业能力，丰富学生的职业情感，促进学生的职业发展，继承传统文化，建立精神家园、重塑人格，提升学生行为修养，为学生成长为高素质，有文化的现代职业人提供支撑和保障。</w:t>
            </w:r>
          </w:p>
        </w:tc>
        <w:tc>
          <w:tcPr>
            <w:tcW w:w="370" w:type="pct"/>
            <w:tcBorders>
              <w:tl2br w:val="nil"/>
              <w:tr2bl w:val="nil"/>
            </w:tcBorders>
            <w:vAlign w:val="center"/>
          </w:tcPr>
          <w:p w14:paraId="1DA6078B">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60</w:t>
            </w:r>
          </w:p>
        </w:tc>
      </w:tr>
      <w:tr w14:paraId="33990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392B2D28">
            <w:pPr>
              <w:spacing w:after="0" w:line="320" w:lineRule="exact"/>
              <w:jc w:val="center"/>
              <w:rPr>
                <w:rFonts w:cs="仿宋" w:asciiTheme="minorEastAsia" w:hAnsiTheme="minorEastAsia" w:eastAsiaTheme="minorEastAsia"/>
                <w:sz w:val="18"/>
                <w:szCs w:val="18"/>
              </w:rPr>
            </w:pPr>
            <w:bookmarkStart w:id="148" w:name="_Toc19600"/>
            <w:bookmarkStart w:id="149" w:name="_Toc1062"/>
            <w:bookmarkStart w:id="150" w:name="_Toc11683"/>
            <w:r>
              <w:rPr>
                <w:rFonts w:hint="eastAsia" w:cs="仿宋" w:asciiTheme="minorEastAsia" w:hAnsiTheme="minorEastAsia" w:eastAsiaTheme="minorEastAsia"/>
                <w:sz w:val="18"/>
                <w:szCs w:val="18"/>
              </w:rPr>
              <w:t>5</w:t>
            </w:r>
            <w:bookmarkEnd w:id="148"/>
            <w:bookmarkEnd w:id="149"/>
            <w:bookmarkEnd w:id="150"/>
          </w:p>
        </w:tc>
        <w:tc>
          <w:tcPr>
            <w:tcW w:w="529" w:type="pct"/>
            <w:tcBorders>
              <w:tl2br w:val="nil"/>
              <w:tr2bl w:val="nil"/>
            </w:tcBorders>
            <w:vAlign w:val="center"/>
          </w:tcPr>
          <w:p w14:paraId="7F8E626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大学英语</w:t>
            </w:r>
          </w:p>
        </w:tc>
        <w:tc>
          <w:tcPr>
            <w:tcW w:w="3880" w:type="pct"/>
            <w:tcBorders>
              <w:tl2br w:val="nil"/>
              <w:tr2bl w:val="nil"/>
            </w:tcBorders>
          </w:tcPr>
          <w:p w14:paraId="07D956B9">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w:t>
            </w:r>
            <w:r>
              <w:rPr>
                <w:rFonts w:hint="eastAsia" w:cs="仿宋" w:asciiTheme="minorEastAsia" w:hAnsiTheme="minorEastAsia" w:eastAsiaTheme="minorEastAsia"/>
                <w:sz w:val="18"/>
                <w:szCs w:val="18"/>
                <w:u w:color="FFFFFF" w:themeColor="background1"/>
                <w:lang w:val="en-US" w:eastAsia="zh-CN"/>
              </w:rPr>
              <w:t>以</w:t>
            </w:r>
            <w:r>
              <w:rPr>
                <w:rFonts w:hint="eastAsia" w:cs="仿宋" w:asciiTheme="minorEastAsia" w:hAnsiTheme="minorEastAsia" w:eastAsiaTheme="minorEastAsia"/>
                <w:sz w:val="18"/>
                <w:szCs w:val="18"/>
                <w:u w:color="FFFFFF" w:themeColor="background1"/>
              </w:rPr>
              <w:t>听、说、读、写</w:t>
            </w:r>
            <w:r>
              <w:rPr>
                <w:rFonts w:hint="eastAsia" w:cs="仿宋" w:asciiTheme="minorEastAsia" w:hAnsiTheme="minorEastAsia" w:eastAsiaTheme="minorEastAsia"/>
                <w:sz w:val="18"/>
                <w:szCs w:val="18"/>
                <w:u w:color="FFFFFF" w:themeColor="background1"/>
                <w:lang w:val="en-US" w:eastAsia="zh-CN"/>
              </w:rPr>
              <w:t>为</w:t>
            </w:r>
            <w:r>
              <w:rPr>
                <w:rFonts w:hint="eastAsia" w:cs="仿宋" w:asciiTheme="minorEastAsia" w:hAnsiTheme="minorEastAsia" w:eastAsiaTheme="minorEastAsia"/>
                <w:sz w:val="18"/>
                <w:szCs w:val="18"/>
                <w:u w:color="FFFFFF" w:themeColor="background1"/>
              </w:rPr>
              <w:t>教学重点，培养学生实际应用英语的能力，注重培养学生听说能力和实际应用语言的技能，特别是用英语处理与本专业职业生活相关的业务能力，培养具有一定的英语基础知识和语言技能的高素质技术技能人才。</w:t>
            </w:r>
          </w:p>
        </w:tc>
        <w:tc>
          <w:tcPr>
            <w:tcW w:w="370" w:type="pct"/>
            <w:tcBorders>
              <w:tl2br w:val="nil"/>
              <w:tr2bl w:val="nil"/>
            </w:tcBorders>
            <w:vAlign w:val="center"/>
          </w:tcPr>
          <w:p w14:paraId="426AD275">
            <w:pPr>
              <w:spacing w:after="0" w:line="320" w:lineRule="exact"/>
              <w:jc w:val="center"/>
              <w:rPr>
                <w:rFonts w:hint="default" w:cs="仿宋" w:asciiTheme="minorEastAsia" w:hAnsiTheme="minorEastAsia" w:eastAsiaTheme="minorEastAsia"/>
                <w:sz w:val="18"/>
                <w:szCs w:val="18"/>
                <w:u w:color="FFFFFF" w:themeColor="background1"/>
                <w:lang w:val="en-US" w:eastAsia="zh-CN"/>
              </w:rPr>
            </w:pPr>
            <w:r>
              <w:rPr>
                <w:rFonts w:hint="eastAsia" w:cs="仿宋" w:asciiTheme="minorEastAsia" w:hAnsiTheme="minorEastAsia" w:eastAsiaTheme="minorEastAsia"/>
                <w:sz w:val="18"/>
                <w:szCs w:val="18"/>
                <w:u w:color="FFFFFF" w:themeColor="background1"/>
                <w:lang w:val="en-US" w:eastAsia="zh-CN"/>
              </w:rPr>
              <w:t>144</w:t>
            </w:r>
          </w:p>
        </w:tc>
      </w:tr>
      <w:tr w14:paraId="3A523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3CE641BA">
            <w:pPr>
              <w:spacing w:after="0" w:line="320" w:lineRule="exact"/>
              <w:jc w:val="center"/>
              <w:rPr>
                <w:rFonts w:cs="仿宋" w:asciiTheme="minorEastAsia" w:hAnsiTheme="minorEastAsia" w:eastAsiaTheme="minorEastAsia"/>
                <w:sz w:val="18"/>
                <w:szCs w:val="18"/>
                <w:u w:color="FFFFFF" w:themeColor="background1"/>
              </w:rPr>
            </w:pPr>
            <w:bookmarkStart w:id="151" w:name="_Toc15582"/>
            <w:bookmarkStart w:id="152" w:name="_Toc31148"/>
            <w:bookmarkStart w:id="153" w:name="_Toc23357"/>
            <w:r>
              <w:rPr>
                <w:rFonts w:hint="eastAsia" w:cs="仿宋" w:asciiTheme="minorEastAsia" w:hAnsiTheme="minorEastAsia" w:eastAsiaTheme="minorEastAsia"/>
                <w:sz w:val="18"/>
                <w:szCs w:val="18"/>
                <w:u w:color="FFFFFF" w:themeColor="background1"/>
              </w:rPr>
              <w:t>6</w:t>
            </w:r>
            <w:bookmarkEnd w:id="151"/>
            <w:bookmarkEnd w:id="152"/>
            <w:bookmarkEnd w:id="153"/>
          </w:p>
        </w:tc>
        <w:tc>
          <w:tcPr>
            <w:tcW w:w="529" w:type="pct"/>
            <w:tcBorders>
              <w:tl2br w:val="nil"/>
              <w:tr2bl w:val="nil"/>
            </w:tcBorders>
            <w:vAlign w:val="center"/>
          </w:tcPr>
          <w:p w14:paraId="1D7C0383">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高等数学</w:t>
            </w:r>
          </w:p>
        </w:tc>
        <w:tc>
          <w:tcPr>
            <w:tcW w:w="3880" w:type="pct"/>
            <w:tcBorders>
              <w:tl2br w:val="nil"/>
              <w:tr2bl w:val="nil"/>
            </w:tcBorders>
          </w:tcPr>
          <w:p w14:paraId="5AF961F8">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lang w:val="en-US" w:eastAsia="zh-CN"/>
              </w:rPr>
              <w:t>课程以</w:t>
            </w:r>
            <w:r>
              <w:rPr>
                <w:rFonts w:hint="eastAsia" w:cs="仿宋" w:asciiTheme="minorEastAsia" w:hAnsiTheme="minorEastAsia" w:eastAsiaTheme="minorEastAsia"/>
                <w:sz w:val="18"/>
                <w:szCs w:val="18"/>
                <w:u w:color="FFFFFF" w:themeColor="background1"/>
              </w:rPr>
              <w:t>重新认识并彻底解决初等数学中一些未能很好解决的问题</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如函数的性质、极值、增减性、图像、级数等</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学习极限、微分、积分等知识，为学生学习</w:t>
            </w:r>
            <w:r>
              <w:rPr>
                <w:rFonts w:hint="eastAsia" w:cs="仿宋" w:asciiTheme="minorEastAsia" w:hAnsiTheme="minorEastAsia" w:eastAsiaTheme="minorEastAsia"/>
                <w:sz w:val="18"/>
                <w:szCs w:val="18"/>
                <w:u w:color="FFFFFF" w:themeColor="background1"/>
                <w:lang w:eastAsia="zh-CN"/>
              </w:rPr>
              <w:t>其他学科</w:t>
            </w:r>
            <w:r>
              <w:rPr>
                <w:rFonts w:hint="eastAsia" w:cs="仿宋" w:asciiTheme="minorEastAsia" w:hAnsiTheme="minorEastAsia" w:eastAsiaTheme="minorEastAsia"/>
                <w:sz w:val="18"/>
                <w:szCs w:val="18"/>
                <w:u w:color="FFFFFF" w:themeColor="background1"/>
              </w:rPr>
              <w:t>以至于专业打下扎实的基础。</w:t>
            </w:r>
            <w:r>
              <w:rPr>
                <w:rFonts w:hint="eastAsia" w:cs="仿宋" w:asciiTheme="minorEastAsia" w:hAnsiTheme="minorEastAsia" w:eastAsiaTheme="minorEastAsia"/>
                <w:sz w:val="18"/>
                <w:szCs w:val="18"/>
                <w:u w:color="FFFFFF" w:themeColor="background1"/>
                <w:lang w:val="en-US" w:eastAsia="zh-CN"/>
              </w:rPr>
              <w:t>培养</w:t>
            </w:r>
            <w:r>
              <w:rPr>
                <w:rFonts w:hint="eastAsia" w:cs="仿宋" w:asciiTheme="minorEastAsia" w:hAnsiTheme="minorEastAsia" w:eastAsiaTheme="minorEastAsia"/>
                <w:sz w:val="18"/>
                <w:szCs w:val="18"/>
                <w:u w:color="FFFFFF" w:themeColor="background1"/>
              </w:rPr>
              <w:t>学生思维的逻辑性、严谨性、创新性</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以及用数学原理和方法解决实际问题的意识、兴趣和能力。使学生掌握高等数学的基本理论和方法</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尤其是思维方式</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掌握知识技能的同时发展智力</w:t>
            </w:r>
            <w:r>
              <w:rPr>
                <w:rFonts w:hint="eastAsia" w:cs="仿宋" w:asciiTheme="minorEastAsia" w:hAnsiTheme="minorEastAsia" w:eastAsiaTheme="minorEastAsia"/>
                <w:sz w:val="18"/>
                <w:szCs w:val="18"/>
                <w:u w:color="FFFFFF" w:themeColor="background1"/>
                <w:lang w:eastAsia="zh-CN"/>
              </w:rPr>
              <w:t>，</w:t>
            </w:r>
            <w:r>
              <w:rPr>
                <w:rFonts w:hint="eastAsia" w:cs="仿宋" w:asciiTheme="minorEastAsia" w:hAnsiTheme="minorEastAsia" w:eastAsiaTheme="minorEastAsia"/>
                <w:sz w:val="18"/>
                <w:szCs w:val="18"/>
                <w:u w:color="FFFFFF" w:themeColor="background1"/>
              </w:rPr>
              <w:t>特别是发展创造能力。</w:t>
            </w:r>
          </w:p>
        </w:tc>
        <w:tc>
          <w:tcPr>
            <w:tcW w:w="370" w:type="pct"/>
            <w:tcBorders>
              <w:tl2br w:val="nil"/>
              <w:tr2bl w:val="nil"/>
            </w:tcBorders>
            <w:vAlign w:val="center"/>
          </w:tcPr>
          <w:p w14:paraId="0ABF9012">
            <w:pPr>
              <w:spacing w:after="0" w:line="320" w:lineRule="exact"/>
              <w:jc w:val="center"/>
              <w:rPr>
                <w:rFonts w:hint="default" w:cs="仿宋" w:asciiTheme="minorEastAsia" w:hAnsiTheme="minorEastAsia" w:eastAsiaTheme="minorEastAsia"/>
                <w:sz w:val="18"/>
                <w:szCs w:val="18"/>
                <w:u w:color="FFFFFF" w:themeColor="background1"/>
                <w:lang w:val="en-US" w:eastAsia="zh-CN"/>
              </w:rPr>
            </w:pPr>
            <w:r>
              <w:rPr>
                <w:rFonts w:hint="eastAsia" w:cs="仿宋" w:asciiTheme="minorEastAsia" w:hAnsiTheme="minorEastAsia" w:eastAsiaTheme="minorEastAsia"/>
                <w:sz w:val="18"/>
                <w:szCs w:val="18"/>
                <w:u w:color="FFFFFF" w:themeColor="background1"/>
                <w:lang w:val="en-US" w:eastAsia="zh-CN"/>
              </w:rPr>
              <w:t>72</w:t>
            </w:r>
          </w:p>
        </w:tc>
      </w:tr>
      <w:tr w14:paraId="6DB9C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73BCC191">
            <w:pPr>
              <w:spacing w:after="0" w:line="320" w:lineRule="exact"/>
              <w:jc w:val="center"/>
              <w:rPr>
                <w:rFonts w:cs="仿宋" w:asciiTheme="minorEastAsia" w:hAnsiTheme="minorEastAsia" w:eastAsiaTheme="minorEastAsia"/>
                <w:sz w:val="18"/>
                <w:szCs w:val="18"/>
              </w:rPr>
            </w:pPr>
            <w:bookmarkStart w:id="154" w:name="_Toc3835"/>
            <w:bookmarkStart w:id="155" w:name="_Toc10331"/>
            <w:bookmarkStart w:id="156" w:name="_Toc20526"/>
            <w:r>
              <w:rPr>
                <w:rFonts w:hint="eastAsia" w:cs="仿宋" w:asciiTheme="minorEastAsia" w:hAnsiTheme="minorEastAsia" w:eastAsiaTheme="minorEastAsia"/>
                <w:sz w:val="18"/>
                <w:szCs w:val="18"/>
              </w:rPr>
              <w:t>7</w:t>
            </w:r>
            <w:bookmarkEnd w:id="154"/>
            <w:bookmarkEnd w:id="155"/>
            <w:bookmarkEnd w:id="156"/>
          </w:p>
        </w:tc>
        <w:tc>
          <w:tcPr>
            <w:tcW w:w="529" w:type="pct"/>
            <w:tcBorders>
              <w:tl2br w:val="nil"/>
              <w:tr2bl w:val="nil"/>
            </w:tcBorders>
            <w:vAlign w:val="center"/>
          </w:tcPr>
          <w:p w14:paraId="597C6BB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大学体育</w:t>
            </w:r>
          </w:p>
        </w:tc>
        <w:tc>
          <w:tcPr>
            <w:tcW w:w="3880" w:type="pct"/>
            <w:tcBorders>
              <w:tl2br w:val="nil"/>
              <w:tr2bl w:val="nil"/>
            </w:tcBorders>
          </w:tcPr>
          <w:p w14:paraId="2EF879F8">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本课程旨在指导学生科学有效开展身体健康锻炼，重点以体育与健康知识，技能与方法为主要学习内容，树立健康生活工作方式，养成良</w:t>
            </w:r>
            <w:r>
              <w:rPr>
                <w:rFonts w:hint="eastAsia" w:cs="仿宋" w:asciiTheme="minorEastAsia" w:hAnsiTheme="minorEastAsia" w:eastAsiaTheme="minorEastAsia"/>
                <w:sz w:val="18"/>
                <w:szCs w:val="18"/>
                <w:u w:color="FFFFFF" w:themeColor="background1"/>
                <w:lang w:eastAsia="zh-CN"/>
              </w:rPr>
              <w:t>好的</w:t>
            </w:r>
            <w:r>
              <w:rPr>
                <w:rFonts w:hint="eastAsia" w:cs="仿宋" w:asciiTheme="minorEastAsia" w:hAnsiTheme="minorEastAsia" w:eastAsiaTheme="minorEastAsia"/>
                <w:sz w:val="18"/>
                <w:szCs w:val="18"/>
                <w:u w:color="FFFFFF" w:themeColor="background1"/>
              </w:rPr>
              <w:t>体育锻炼习惯，增强学生体质健康水平，完善与职业岗位相适应的身体素质储备，提升体育和素质素养为主要目的，是为学生未来的学习、生活、工作、职业发展提供良好的身心素质基础的一门公共基础必修课。</w:t>
            </w:r>
          </w:p>
        </w:tc>
        <w:tc>
          <w:tcPr>
            <w:tcW w:w="370" w:type="pct"/>
            <w:tcBorders>
              <w:tl2br w:val="nil"/>
              <w:tr2bl w:val="nil"/>
            </w:tcBorders>
            <w:vAlign w:val="center"/>
          </w:tcPr>
          <w:p w14:paraId="4D2D08C2">
            <w:pPr>
              <w:spacing w:after="0" w:line="320" w:lineRule="exact"/>
              <w:jc w:val="center"/>
              <w:rPr>
                <w:rFonts w:cs="仿宋" w:asciiTheme="minorEastAsia" w:hAnsiTheme="minorEastAsia" w:eastAsiaTheme="minorEastAsia"/>
                <w:sz w:val="18"/>
                <w:szCs w:val="18"/>
                <w:u w:color="FFFFFF" w:themeColor="background1"/>
              </w:rPr>
            </w:pPr>
            <w:r>
              <w:rPr>
                <w:rFonts w:cs="仿宋" w:asciiTheme="minorEastAsia" w:hAnsiTheme="minorEastAsia" w:eastAsiaTheme="minorEastAsia"/>
                <w:sz w:val="18"/>
                <w:szCs w:val="18"/>
                <w:u w:color="FFFFFF" w:themeColor="background1"/>
              </w:rPr>
              <w:t>144</w:t>
            </w:r>
          </w:p>
        </w:tc>
      </w:tr>
      <w:tr w14:paraId="46DB5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 w:type="pct"/>
            <w:tcBorders>
              <w:tl2br w:val="nil"/>
              <w:tr2bl w:val="nil"/>
            </w:tcBorders>
            <w:vAlign w:val="center"/>
          </w:tcPr>
          <w:p w14:paraId="02ADBB0B">
            <w:pPr>
              <w:spacing w:after="0" w:line="320" w:lineRule="exact"/>
              <w:jc w:val="center"/>
              <w:rPr>
                <w:rFonts w:cs="仿宋" w:asciiTheme="minorEastAsia" w:hAnsiTheme="minorEastAsia" w:eastAsiaTheme="minorEastAsia"/>
                <w:sz w:val="18"/>
                <w:szCs w:val="18"/>
              </w:rPr>
            </w:pPr>
            <w:bookmarkStart w:id="157" w:name="_Toc24668"/>
            <w:bookmarkStart w:id="158" w:name="_Toc20655"/>
            <w:bookmarkStart w:id="159" w:name="_Toc1920"/>
            <w:r>
              <w:rPr>
                <w:rFonts w:hint="eastAsia" w:cs="仿宋" w:asciiTheme="minorEastAsia" w:hAnsiTheme="minorEastAsia" w:eastAsiaTheme="minorEastAsia"/>
                <w:sz w:val="18"/>
                <w:szCs w:val="18"/>
              </w:rPr>
              <w:t>8</w:t>
            </w:r>
            <w:bookmarkEnd w:id="157"/>
            <w:bookmarkEnd w:id="158"/>
            <w:bookmarkEnd w:id="159"/>
          </w:p>
        </w:tc>
        <w:tc>
          <w:tcPr>
            <w:tcW w:w="529" w:type="pct"/>
            <w:tcBorders>
              <w:tl2br w:val="nil"/>
              <w:tr2bl w:val="nil"/>
            </w:tcBorders>
            <w:vAlign w:val="center"/>
          </w:tcPr>
          <w:p w14:paraId="680B2FD8">
            <w:pPr>
              <w:spacing w:after="0" w:line="320" w:lineRule="exact"/>
              <w:jc w:val="center"/>
              <w:rPr>
                <w:rFonts w:cs="仿宋" w:asciiTheme="minorEastAsia" w:hAnsiTheme="minorEastAsia" w:eastAsiaTheme="minorEastAsia"/>
                <w:sz w:val="18"/>
                <w:szCs w:val="18"/>
              </w:rPr>
            </w:pPr>
            <w:r>
              <w:rPr>
                <w:rFonts w:hint="eastAsia"/>
                <w:sz w:val="18"/>
                <w:szCs w:val="18"/>
              </w:rPr>
              <w:t>心理健康教育</w:t>
            </w:r>
          </w:p>
        </w:tc>
        <w:tc>
          <w:tcPr>
            <w:tcW w:w="3880" w:type="pct"/>
            <w:tcBorders>
              <w:tl2br w:val="nil"/>
              <w:tr2bl w:val="nil"/>
            </w:tcBorders>
          </w:tcPr>
          <w:p w14:paraId="0C784B31">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课程</w:t>
            </w:r>
            <w:r>
              <w:rPr>
                <w:rFonts w:hint="eastAsia" w:cs="仿宋" w:asciiTheme="minorEastAsia" w:hAnsiTheme="minorEastAsia" w:eastAsiaTheme="minorEastAsia"/>
                <w:sz w:val="18"/>
                <w:szCs w:val="18"/>
                <w:u w:color="FFFFFF" w:themeColor="background1"/>
                <w:lang w:val="en-US" w:eastAsia="zh-CN"/>
              </w:rPr>
              <w:t>以</w:t>
            </w:r>
            <w:r>
              <w:rPr>
                <w:rFonts w:hint="eastAsia" w:cs="仿宋" w:asciiTheme="minorEastAsia" w:hAnsiTheme="minorEastAsia" w:eastAsiaTheme="minorEastAsia"/>
                <w:sz w:val="18"/>
                <w:szCs w:val="18"/>
                <w:u w:color="FFFFFF" w:themeColor="background1"/>
              </w:rPr>
              <w:t>宣传普及心理保健知识</w:t>
            </w:r>
            <w:r>
              <w:rPr>
                <w:rFonts w:hint="eastAsia" w:cs="仿宋" w:asciiTheme="minorEastAsia" w:hAnsiTheme="minorEastAsia" w:eastAsiaTheme="minorEastAsia"/>
                <w:sz w:val="18"/>
                <w:szCs w:val="18"/>
                <w:u w:color="FFFFFF" w:themeColor="background1"/>
                <w:lang w:val="en-US" w:eastAsia="zh-CN"/>
              </w:rPr>
              <w:t>为主要教学内容</w:t>
            </w:r>
            <w:r>
              <w:rPr>
                <w:rFonts w:hint="eastAsia" w:cs="仿宋" w:asciiTheme="minorEastAsia" w:hAnsiTheme="minorEastAsia" w:eastAsiaTheme="minorEastAsia"/>
                <w:sz w:val="18"/>
                <w:szCs w:val="18"/>
                <w:u w:color="FFFFFF" w:themeColor="background1"/>
              </w:rPr>
              <w:t>，帮助学生认识健康心理对成长成才的重要意义，指导学生树立心理保健意识，掌握心理健康知识和心理调适方法，指导学生学会正确认识评价自己，悦纳自己，增强社会生活的适应能力，压力管理能力，问题解决能力，人际交往能力，自我管理能力等，培养学生拥有乐观向上，积极进取的人生态度，并能够科学规划自己的未来和人生。</w:t>
            </w:r>
          </w:p>
        </w:tc>
        <w:tc>
          <w:tcPr>
            <w:tcW w:w="370" w:type="pct"/>
            <w:tcBorders>
              <w:tl2br w:val="nil"/>
              <w:tr2bl w:val="nil"/>
            </w:tcBorders>
            <w:vAlign w:val="center"/>
          </w:tcPr>
          <w:p w14:paraId="0AE758C0">
            <w:pPr>
              <w:spacing w:after="0" w:line="320" w:lineRule="exact"/>
              <w:jc w:val="center"/>
              <w:rPr>
                <w:rFonts w:hint="default" w:cs="仿宋" w:asciiTheme="minorEastAsia" w:hAnsiTheme="minorEastAsia" w:eastAsiaTheme="minorEastAsia"/>
                <w:sz w:val="18"/>
                <w:szCs w:val="18"/>
                <w:u w:color="FFFFFF" w:themeColor="background1"/>
                <w:lang w:val="en-US" w:eastAsia="zh-CN"/>
              </w:rPr>
            </w:pPr>
            <w:r>
              <w:rPr>
                <w:rFonts w:hint="eastAsia" w:cs="仿宋" w:asciiTheme="minorEastAsia" w:hAnsiTheme="minorEastAsia" w:eastAsiaTheme="minorEastAsia"/>
                <w:sz w:val="18"/>
                <w:szCs w:val="18"/>
                <w:u w:color="FFFFFF" w:themeColor="background1"/>
                <w:lang w:val="en-US" w:eastAsia="zh-CN"/>
              </w:rPr>
              <w:t>36</w:t>
            </w:r>
          </w:p>
        </w:tc>
      </w:tr>
      <w:tr w14:paraId="55BB2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219" w:type="pct"/>
            <w:tcBorders>
              <w:tl2br w:val="nil"/>
              <w:tr2bl w:val="nil"/>
            </w:tcBorders>
            <w:vAlign w:val="center"/>
          </w:tcPr>
          <w:p w14:paraId="5D7C56E4">
            <w:pPr>
              <w:spacing w:after="0" w:line="320" w:lineRule="exact"/>
              <w:jc w:val="center"/>
              <w:rPr>
                <w:rFonts w:cs="仿宋" w:asciiTheme="minorEastAsia" w:hAnsiTheme="minorEastAsia" w:eastAsiaTheme="minorEastAsia"/>
                <w:sz w:val="18"/>
                <w:szCs w:val="18"/>
              </w:rPr>
            </w:pPr>
            <w:r>
              <w:rPr>
                <w:rFonts w:cs="仿宋" w:asciiTheme="minorEastAsia" w:hAnsiTheme="minorEastAsia" w:eastAsiaTheme="minorEastAsia"/>
                <w:sz w:val="18"/>
                <w:szCs w:val="18"/>
              </w:rPr>
              <w:t>9</w:t>
            </w:r>
          </w:p>
        </w:tc>
        <w:tc>
          <w:tcPr>
            <w:tcW w:w="529" w:type="pct"/>
            <w:tcBorders>
              <w:tl2br w:val="nil"/>
              <w:tr2bl w:val="nil"/>
            </w:tcBorders>
            <w:vAlign w:val="center"/>
          </w:tcPr>
          <w:p w14:paraId="07B66167">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大学美育</w:t>
            </w:r>
          </w:p>
        </w:tc>
        <w:tc>
          <w:tcPr>
            <w:tcW w:w="3880" w:type="pct"/>
            <w:tcBorders>
              <w:tl2br w:val="nil"/>
              <w:tr2bl w:val="nil"/>
            </w:tcBorders>
          </w:tcPr>
          <w:p w14:paraId="56A796DB">
            <w:pPr>
              <w:spacing w:after="0" w:line="320" w:lineRule="exact"/>
              <w:ind w:firstLine="360" w:firstLineChars="200"/>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lang w:val="en-US" w:eastAsia="zh-CN"/>
              </w:rPr>
              <w:t>课程教学内容分为绘画艺术欣赏和音乐艺术欣赏两部分。绘画艺术欣赏部分通过绘画的线条、形体、色彩、色调、明暗等，使学生了解艺术语言的特点。结合油画和国画作品欣赏，加深对国画优秀传统的认识；学会初步欣赏绘画艺术的一般方法。</w:t>
            </w:r>
            <w:r>
              <w:rPr>
                <w:rFonts w:hint="eastAsia" w:cs="仿宋" w:asciiTheme="minorEastAsia" w:hAnsiTheme="minorEastAsia" w:eastAsiaTheme="minorEastAsia"/>
                <w:sz w:val="18"/>
                <w:szCs w:val="18"/>
                <w:u w:color="FFFFFF" w:themeColor="background1"/>
              </w:rPr>
              <w:t>音乐</w:t>
            </w:r>
            <w:r>
              <w:rPr>
                <w:rFonts w:hint="eastAsia" w:cs="仿宋" w:asciiTheme="minorEastAsia" w:hAnsiTheme="minorEastAsia" w:eastAsiaTheme="minorEastAsia"/>
                <w:sz w:val="18"/>
                <w:szCs w:val="18"/>
                <w:u w:color="FFFFFF" w:themeColor="background1"/>
                <w:lang w:val="en-US" w:eastAsia="zh-CN"/>
              </w:rPr>
              <w:t>艺术欣赏部分通过音乐的节奏、旋律、音色、主题等，了解其艺术语言特点，并结合音乐作品的欣赏，加深对音乐基本特征的理解；学会初步运用音乐的一般欣赏方法去欣赏具体的音乐作品。</w:t>
            </w:r>
          </w:p>
        </w:tc>
        <w:tc>
          <w:tcPr>
            <w:tcW w:w="370" w:type="pct"/>
            <w:tcBorders>
              <w:tl2br w:val="nil"/>
              <w:tr2bl w:val="nil"/>
            </w:tcBorders>
            <w:vAlign w:val="center"/>
          </w:tcPr>
          <w:p w14:paraId="7C66193B">
            <w:pPr>
              <w:spacing w:after="0" w:line="320" w:lineRule="exact"/>
              <w:jc w:val="center"/>
              <w:rPr>
                <w:rFonts w:hint="default" w:cs="仿宋" w:asciiTheme="minorEastAsia" w:hAnsiTheme="minorEastAsia" w:eastAsiaTheme="minorEastAsia"/>
                <w:sz w:val="18"/>
                <w:szCs w:val="18"/>
                <w:u w:color="FFFFFF" w:themeColor="background1"/>
                <w:lang w:val="en-US" w:eastAsia="zh-CN"/>
              </w:rPr>
            </w:pPr>
            <w:r>
              <w:rPr>
                <w:rFonts w:hint="eastAsia" w:cs="仿宋" w:asciiTheme="minorEastAsia" w:hAnsiTheme="minorEastAsia" w:eastAsiaTheme="minorEastAsia"/>
                <w:sz w:val="18"/>
                <w:szCs w:val="18"/>
                <w:u w:color="FFFFFF" w:themeColor="background1"/>
                <w:lang w:val="en-US" w:eastAsia="zh-CN"/>
              </w:rPr>
              <w:t>16</w:t>
            </w:r>
          </w:p>
        </w:tc>
      </w:tr>
      <w:tr w14:paraId="4B117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219" w:type="pct"/>
            <w:tcBorders>
              <w:tl2br w:val="nil"/>
              <w:tr2bl w:val="nil"/>
            </w:tcBorders>
            <w:vAlign w:val="center"/>
          </w:tcPr>
          <w:p w14:paraId="088BC199">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rPr>
              <w:t>1</w:t>
            </w:r>
            <w:r>
              <w:rPr>
                <w:rFonts w:hint="eastAsia" w:cs="仿宋" w:asciiTheme="minorEastAsia" w:hAnsiTheme="minorEastAsia" w:eastAsiaTheme="minorEastAsia"/>
                <w:sz w:val="18"/>
                <w:szCs w:val="18"/>
                <w:lang w:val="en-US" w:eastAsia="zh-CN"/>
              </w:rPr>
              <w:t>0</w:t>
            </w:r>
          </w:p>
        </w:tc>
        <w:tc>
          <w:tcPr>
            <w:tcW w:w="529" w:type="pct"/>
            <w:tcBorders>
              <w:tl2br w:val="nil"/>
              <w:tr2bl w:val="nil"/>
            </w:tcBorders>
            <w:vAlign w:val="center"/>
          </w:tcPr>
          <w:p w14:paraId="586FF80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信息技术</w:t>
            </w:r>
          </w:p>
        </w:tc>
        <w:tc>
          <w:tcPr>
            <w:tcW w:w="3880" w:type="pct"/>
            <w:tcBorders>
              <w:tl2br w:val="nil"/>
              <w:tr2bl w:val="nil"/>
            </w:tcBorders>
          </w:tcPr>
          <w:p w14:paraId="7660182A">
            <w:pPr>
              <w:spacing w:after="0" w:line="320" w:lineRule="exact"/>
              <w:ind w:firstLine="360" w:firstLineChars="200"/>
              <w:rPr>
                <w:rFonts w:hint="eastAsia" w:cs="仿宋" w:asciiTheme="minorEastAsia" w:hAnsiTheme="minorEastAsia" w:eastAsiaTheme="minorEastAsia"/>
                <w:sz w:val="18"/>
                <w:szCs w:val="18"/>
                <w:u w:color="FFFFFF" w:themeColor="background1"/>
                <w:lang w:eastAsia="zh-CN"/>
              </w:rPr>
            </w:pPr>
            <w:r>
              <w:rPr>
                <w:rFonts w:hint="eastAsia" w:cs="仿宋" w:asciiTheme="minorEastAsia" w:hAnsiTheme="minorEastAsia" w:eastAsiaTheme="minorEastAsia"/>
                <w:sz w:val="18"/>
                <w:szCs w:val="18"/>
                <w:u w:color="FFFFFF" w:themeColor="background1"/>
                <w:lang w:val="en-US" w:eastAsia="zh-CN"/>
              </w:rPr>
              <w:t>课程以</w:t>
            </w:r>
            <w:r>
              <w:rPr>
                <w:rFonts w:hint="eastAsia" w:cs="仿宋" w:asciiTheme="minorEastAsia" w:hAnsiTheme="minorEastAsia" w:eastAsiaTheme="minorEastAsia"/>
                <w:sz w:val="18"/>
                <w:szCs w:val="18"/>
                <w:u w:color="FFFFFF" w:themeColor="background1"/>
              </w:rPr>
              <w:t>计算机的基础知识，常用操作系统的使用、文字处理软件的使用、计算机网络的基本操作和使用</w:t>
            </w:r>
            <w:r>
              <w:rPr>
                <w:rFonts w:hint="eastAsia" w:cs="仿宋" w:asciiTheme="minorEastAsia" w:hAnsiTheme="minorEastAsia" w:eastAsiaTheme="minorEastAsia"/>
                <w:sz w:val="18"/>
                <w:szCs w:val="18"/>
                <w:u w:color="FFFFFF" w:themeColor="background1"/>
                <w:lang w:val="en-US" w:eastAsia="zh-CN"/>
              </w:rPr>
              <w:t>为教学基本内容。课程学习，使学生能进行</w:t>
            </w:r>
            <w:r>
              <w:rPr>
                <w:rFonts w:hint="eastAsia" w:cs="仿宋" w:asciiTheme="minorEastAsia" w:hAnsiTheme="minorEastAsia" w:eastAsiaTheme="minorEastAsia"/>
                <w:sz w:val="18"/>
                <w:szCs w:val="18"/>
                <w:u w:color="FFFFFF" w:themeColor="background1"/>
              </w:rPr>
              <w:t>计算机操作的基本技能，具有文字处理能力，数据处理能力，信息获取、整理、加工能力，网上交流能力</w:t>
            </w:r>
            <w:r>
              <w:rPr>
                <w:rFonts w:hint="eastAsia" w:cs="仿宋" w:asciiTheme="minorEastAsia" w:hAnsiTheme="minorEastAsia" w:eastAsiaTheme="minorEastAsia"/>
                <w:sz w:val="18"/>
                <w:szCs w:val="18"/>
                <w:u w:color="FFFFFF" w:themeColor="background1"/>
                <w:lang w:eastAsia="zh-CN"/>
              </w:rPr>
              <w:t>。</w:t>
            </w:r>
          </w:p>
        </w:tc>
        <w:tc>
          <w:tcPr>
            <w:tcW w:w="370" w:type="pct"/>
            <w:tcBorders>
              <w:tl2br w:val="nil"/>
              <w:tr2bl w:val="nil"/>
            </w:tcBorders>
            <w:vAlign w:val="center"/>
          </w:tcPr>
          <w:p w14:paraId="71FDB9CB">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1</w:t>
            </w:r>
            <w:r>
              <w:rPr>
                <w:rFonts w:cs="仿宋" w:asciiTheme="minorEastAsia" w:hAnsiTheme="minorEastAsia" w:eastAsiaTheme="minorEastAsia"/>
                <w:sz w:val="18"/>
                <w:szCs w:val="18"/>
                <w:u w:color="FFFFFF" w:themeColor="background1"/>
              </w:rPr>
              <w:t>44</w:t>
            </w:r>
          </w:p>
        </w:tc>
      </w:tr>
    </w:tbl>
    <w:p w14:paraId="7AA41B19">
      <w:pPr>
        <w:pStyle w:val="3"/>
        <w:spacing w:before="156" w:beforeLines="50" w:after="156" w:afterLines="50"/>
        <w:ind w:firstLine="482"/>
        <w:outlineLvl w:val="2"/>
      </w:pPr>
      <w:bookmarkStart w:id="160" w:name="_Toc77884979"/>
      <w:bookmarkStart w:id="161" w:name="_Toc77884777"/>
      <w:bookmarkStart w:id="162" w:name="_Toc13519"/>
      <w:bookmarkStart w:id="163" w:name="_Toc27153"/>
      <w:bookmarkStart w:id="164" w:name="_Toc13397"/>
      <w:r>
        <w:rPr>
          <w:rFonts w:hint="eastAsia"/>
          <w:lang w:val="en-US" w:eastAsia="zh-CN"/>
        </w:rPr>
        <w:t>2.</w:t>
      </w:r>
      <w:r>
        <w:rPr>
          <w:rFonts w:hint="eastAsia"/>
        </w:rPr>
        <w:t>专业课程</w:t>
      </w:r>
      <w:bookmarkEnd w:id="160"/>
      <w:bookmarkEnd w:id="161"/>
      <w:bookmarkEnd w:id="162"/>
      <w:bookmarkEnd w:id="163"/>
      <w:bookmarkEnd w:id="164"/>
      <w:r>
        <w:rPr>
          <w:rFonts w:hint="eastAsia"/>
        </w:rPr>
        <w:t>设置及要求</w:t>
      </w:r>
    </w:p>
    <w:p w14:paraId="3854CD5E">
      <w:pPr>
        <w:overflowPunct w:val="0"/>
        <w:adjustRightInd w:val="0"/>
        <w:spacing w:after="0" w:line="440" w:lineRule="exact"/>
        <w:ind w:firstLine="480" w:firstLineChars="200"/>
        <w:rPr>
          <w:rFonts w:asciiTheme="minorEastAsia" w:hAnsiTheme="minorEastAsia" w:eastAsiaTheme="minorEastAsia"/>
          <w:b/>
          <w:bCs/>
          <w:sz w:val="24"/>
          <w:szCs w:val="24"/>
        </w:rPr>
      </w:pPr>
      <w:bookmarkStart w:id="165" w:name="_Toc31417"/>
      <w:bookmarkStart w:id="166" w:name="_Toc169"/>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1）</w:t>
      </w:r>
      <w:r>
        <w:rPr>
          <w:rFonts w:hint="eastAsia" w:asciiTheme="minorEastAsia" w:hAnsiTheme="minorEastAsia" w:eastAsiaTheme="minorEastAsia"/>
          <w:b/>
          <w:bCs/>
          <w:sz w:val="24"/>
          <w:szCs w:val="24"/>
        </w:rPr>
        <w:t>专业基础课程</w:t>
      </w:r>
      <w:bookmarkEnd w:id="165"/>
      <w:bookmarkEnd w:id="166"/>
    </w:p>
    <w:p w14:paraId="62F9A40E">
      <w:pPr>
        <w:pStyle w:val="25"/>
        <w:bidi w:val="0"/>
      </w:pPr>
      <w:bookmarkStart w:id="167" w:name="_Toc102927439"/>
      <w:bookmarkStart w:id="168" w:name="_Toc102927735"/>
      <w:r>
        <w:t>表5</w:t>
      </w:r>
      <w:r>
        <w:rPr>
          <w:rFonts w:hint="eastAsia"/>
          <w:lang w:eastAsia="zh-CN"/>
        </w:rPr>
        <w:t>：</w:t>
      </w:r>
      <w:r>
        <w:rPr>
          <w:rFonts w:hint="eastAsia"/>
        </w:rPr>
        <w:t>专业基础课</w:t>
      </w:r>
      <w:bookmarkEnd w:id="167"/>
      <w:bookmarkEnd w:id="168"/>
    </w:p>
    <w:tbl>
      <w:tblPr>
        <w:tblStyle w:val="14"/>
        <w:tblW w:w="93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1055"/>
        <w:gridCol w:w="7181"/>
        <w:gridCol w:w="690"/>
      </w:tblGrid>
      <w:tr w14:paraId="03857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397" w:type="dxa"/>
            <w:tcBorders>
              <w:tl2br w:val="nil"/>
              <w:tr2bl w:val="nil"/>
            </w:tcBorders>
            <w:shd w:val="clear" w:color="auto" w:fill="DEEBF6" w:themeFill="accent1" w:themeFillTint="32"/>
          </w:tcPr>
          <w:p w14:paraId="591A9E50">
            <w:pPr>
              <w:spacing w:after="0" w:line="320" w:lineRule="exact"/>
              <w:jc w:val="center"/>
              <w:rPr>
                <w:rFonts w:cs="仿宋" w:asciiTheme="minorEastAsia" w:hAnsiTheme="minorEastAsia" w:eastAsiaTheme="minorEastAsia"/>
                <w:b/>
                <w:bCs/>
                <w:sz w:val="18"/>
                <w:szCs w:val="18"/>
              </w:rPr>
            </w:pPr>
            <w:bookmarkStart w:id="169" w:name="_Toc21282"/>
            <w:bookmarkStart w:id="170" w:name="_Toc25757"/>
            <w:bookmarkStart w:id="171" w:name="_Toc3766"/>
            <w:r>
              <w:rPr>
                <w:rFonts w:hint="eastAsia" w:cs="仿宋" w:asciiTheme="minorEastAsia" w:hAnsiTheme="minorEastAsia" w:eastAsiaTheme="minorEastAsia"/>
                <w:b/>
                <w:bCs/>
                <w:sz w:val="18"/>
                <w:szCs w:val="18"/>
              </w:rPr>
              <w:t>序号</w:t>
            </w:r>
            <w:bookmarkEnd w:id="169"/>
            <w:bookmarkEnd w:id="170"/>
            <w:bookmarkEnd w:id="171"/>
          </w:p>
        </w:tc>
        <w:tc>
          <w:tcPr>
            <w:tcW w:w="1055" w:type="dxa"/>
            <w:tcBorders>
              <w:tl2br w:val="nil"/>
              <w:tr2bl w:val="nil"/>
            </w:tcBorders>
            <w:shd w:val="clear" w:color="auto" w:fill="DEEBF6" w:themeFill="accent1" w:themeFillTint="32"/>
          </w:tcPr>
          <w:p w14:paraId="514937E3">
            <w:pPr>
              <w:spacing w:after="0" w:line="320" w:lineRule="exact"/>
              <w:jc w:val="center"/>
              <w:rPr>
                <w:rFonts w:cs="仿宋" w:asciiTheme="minorEastAsia" w:hAnsiTheme="minorEastAsia" w:eastAsiaTheme="minorEastAsia"/>
                <w:b/>
                <w:bCs/>
                <w:sz w:val="18"/>
                <w:szCs w:val="18"/>
              </w:rPr>
            </w:pPr>
            <w:bookmarkStart w:id="172" w:name="_Toc12310"/>
            <w:bookmarkStart w:id="173" w:name="_Toc28812"/>
            <w:bookmarkStart w:id="174" w:name="_Toc29500"/>
            <w:r>
              <w:rPr>
                <w:rFonts w:hint="eastAsia" w:cs="仿宋" w:asciiTheme="minorEastAsia" w:hAnsiTheme="minorEastAsia" w:eastAsiaTheme="minorEastAsia"/>
                <w:b/>
                <w:bCs/>
                <w:sz w:val="18"/>
                <w:szCs w:val="18"/>
              </w:rPr>
              <w:t>专业基础课程</w:t>
            </w:r>
            <w:bookmarkEnd w:id="172"/>
            <w:bookmarkEnd w:id="173"/>
            <w:bookmarkEnd w:id="174"/>
          </w:p>
        </w:tc>
        <w:tc>
          <w:tcPr>
            <w:tcW w:w="7181" w:type="dxa"/>
            <w:tcBorders>
              <w:tl2br w:val="nil"/>
              <w:tr2bl w:val="nil"/>
            </w:tcBorders>
            <w:shd w:val="clear" w:color="auto" w:fill="DEEBF6" w:themeFill="accent1" w:themeFillTint="32"/>
            <w:vAlign w:val="center"/>
          </w:tcPr>
          <w:p w14:paraId="1171EC12">
            <w:pPr>
              <w:spacing w:after="0" w:line="320" w:lineRule="exact"/>
              <w:jc w:val="center"/>
              <w:rPr>
                <w:rFonts w:cs="仿宋" w:asciiTheme="minorEastAsia" w:hAnsiTheme="minorEastAsia" w:eastAsiaTheme="minorEastAsia"/>
                <w:b/>
                <w:bCs/>
                <w:sz w:val="18"/>
                <w:szCs w:val="18"/>
              </w:rPr>
            </w:pPr>
            <w:bookmarkStart w:id="175" w:name="_Toc14894"/>
            <w:bookmarkStart w:id="176" w:name="_Toc32608"/>
            <w:bookmarkStart w:id="177" w:name="_Toc17164"/>
            <w:r>
              <w:rPr>
                <w:rFonts w:hint="eastAsia" w:cs="仿宋" w:asciiTheme="minorEastAsia" w:hAnsiTheme="minorEastAsia" w:eastAsiaTheme="minorEastAsia"/>
                <w:b/>
                <w:bCs/>
                <w:sz w:val="18"/>
                <w:szCs w:val="18"/>
              </w:rPr>
              <w:t>主要教学内容与要求</w:t>
            </w:r>
            <w:bookmarkEnd w:id="175"/>
            <w:bookmarkEnd w:id="176"/>
            <w:bookmarkEnd w:id="177"/>
          </w:p>
        </w:tc>
        <w:tc>
          <w:tcPr>
            <w:tcW w:w="690" w:type="dxa"/>
            <w:tcBorders>
              <w:tl2br w:val="nil"/>
              <w:tr2bl w:val="nil"/>
            </w:tcBorders>
            <w:shd w:val="clear" w:color="auto" w:fill="DEEBF6" w:themeFill="accent1" w:themeFillTint="32"/>
          </w:tcPr>
          <w:p w14:paraId="6BED7D8A">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参考</w:t>
            </w:r>
          </w:p>
          <w:p w14:paraId="7E709A49">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学时</w:t>
            </w:r>
          </w:p>
        </w:tc>
      </w:tr>
      <w:tr w14:paraId="62538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397" w:type="dxa"/>
            <w:tcBorders>
              <w:tl2br w:val="nil"/>
              <w:tr2bl w:val="nil"/>
            </w:tcBorders>
            <w:vAlign w:val="center"/>
          </w:tcPr>
          <w:p w14:paraId="15B5B457">
            <w:pPr>
              <w:spacing w:after="0" w:line="320" w:lineRule="exact"/>
              <w:jc w:val="center"/>
              <w:rPr>
                <w:rFonts w:hint="eastAsia" w:cs="仿宋" w:asciiTheme="minorEastAsia" w:hAnsiTheme="minorEastAsia" w:eastAsiaTheme="minorEastAsia"/>
                <w:sz w:val="18"/>
                <w:szCs w:val="18"/>
                <w:lang w:val="en-US" w:eastAsia="zh-CN"/>
              </w:rPr>
            </w:pPr>
            <w:bookmarkStart w:id="178" w:name="_Toc26169"/>
            <w:bookmarkStart w:id="179" w:name="_Toc21763"/>
            <w:bookmarkStart w:id="180" w:name="_Toc20372"/>
            <w:r>
              <w:rPr>
                <w:rFonts w:hint="eastAsia" w:cs="仿宋" w:asciiTheme="minorEastAsia" w:hAnsiTheme="minorEastAsia" w:eastAsiaTheme="minorEastAsia"/>
                <w:sz w:val="18"/>
                <w:szCs w:val="18"/>
                <w:lang w:val="en-US" w:eastAsia="zh-CN"/>
              </w:rPr>
              <w:t>1</w:t>
            </w:r>
          </w:p>
        </w:tc>
        <w:tc>
          <w:tcPr>
            <w:tcW w:w="1055" w:type="dxa"/>
            <w:tcBorders>
              <w:tl2br w:val="nil"/>
              <w:tr2bl w:val="nil"/>
            </w:tcBorders>
            <w:vAlign w:val="center"/>
          </w:tcPr>
          <w:p w14:paraId="01E393DA">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物业管理基础</w:t>
            </w:r>
          </w:p>
        </w:tc>
        <w:tc>
          <w:tcPr>
            <w:tcW w:w="7181" w:type="dxa"/>
            <w:tcBorders>
              <w:tl2br w:val="nil"/>
              <w:tr2bl w:val="nil"/>
            </w:tcBorders>
          </w:tcPr>
          <w:p w14:paraId="4CC4BB1E">
            <w:pPr>
              <w:spacing w:after="0" w:line="320" w:lineRule="exact"/>
              <w:ind w:firstLine="360" w:firstLineChars="200"/>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课程分为基础理论和实务操作两部分：基础理论部分通过物业管理概念、发展历程、政策法规等内容，帮助学生掌握行业基本知识框架；实务操作部分通过物业接管验收、设施维护、客户服务等业务流程，培养学生实务操作能力。课程要求学生掌握物业管理基本概念、法律法规和业务流程，具备分析解决实际问题的初步能力。</w:t>
            </w:r>
          </w:p>
        </w:tc>
        <w:tc>
          <w:tcPr>
            <w:tcW w:w="690" w:type="dxa"/>
            <w:tcBorders>
              <w:tl2br w:val="nil"/>
              <w:tr2bl w:val="nil"/>
            </w:tcBorders>
            <w:vAlign w:val="center"/>
          </w:tcPr>
          <w:p w14:paraId="283251BF">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72</w:t>
            </w:r>
          </w:p>
        </w:tc>
      </w:tr>
      <w:bookmarkEnd w:id="178"/>
      <w:bookmarkEnd w:id="179"/>
      <w:bookmarkEnd w:id="180"/>
      <w:tr w14:paraId="27C66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9" w:hRule="atLeast"/>
        </w:trPr>
        <w:tc>
          <w:tcPr>
            <w:tcW w:w="397" w:type="dxa"/>
            <w:tcBorders>
              <w:tl2br w:val="nil"/>
              <w:tr2bl w:val="nil"/>
            </w:tcBorders>
            <w:vAlign w:val="center"/>
          </w:tcPr>
          <w:p w14:paraId="3865C3F0">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2</w:t>
            </w:r>
          </w:p>
        </w:tc>
        <w:tc>
          <w:tcPr>
            <w:tcW w:w="1055" w:type="dxa"/>
            <w:tcBorders>
              <w:tl2br w:val="nil"/>
              <w:tr2bl w:val="nil"/>
            </w:tcBorders>
            <w:vAlign w:val="center"/>
          </w:tcPr>
          <w:p w14:paraId="75D6D9BB">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eastAsia="zh-CN"/>
              </w:rPr>
              <w:t>管理学基础</w:t>
            </w:r>
          </w:p>
        </w:tc>
        <w:tc>
          <w:tcPr>
            <w:tcW w:w="7181" w:type="dxa"/>
            <w:tcBorders>
              <w:tl2br w:val="nil"/>
              <w:tr2bl w:val="nil"/>
            </w:tcBorders>
          </w:tcPr>
          <w:p w14:paraId="7ED497E1">
            <w:pPr>
              <w:spacing w:after="0" w:line="320" w:lineRule="exact"/>
              <w:ind w:firstLine="360" w:firstLineChars="200"/>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课程分为管理理论和管理实务两部分：理论部分通过管理思想发展、管理职能、组织行为等内容，帮助学生建立管理学知识体系；实务部分通过计划制定、组织设计、领导激励、控制反馈等管理过程，培养学生基础管理技能。课程要求学生掌握管理学基本原理，理解管理四大职能，具备运用管理工具分析解决实际问题的初步能力。</w:t>
            </w:r>
          </w:p>
        </w:tc>
        <w:tc>
          <w:tcPr>
            <w:tcW w:w="690" w:type="dxa"/>
            <w:tcBorders>
              <w:tl2br w:val="nil"/>
              <w:tr2bl w:val="nil"/>
            </w:tcBorders>
            <w:vAlign w:val="center"/>
          </w:tcPr>
          <w:p w14:paraId="6AB7FB1B">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72</w:t>
            </w:r>
          </w:p>
        </w:tc>
      </w:tr>
      <w:tr w14:paraId="51ED7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4" w:hRule="atLeast"/>
        </w:trPr>
        <w:tc>
          <w:tcPr>
            <w:tcW w:w="397" w:type="dxa"/>
            <w:tcBorders>
              <w:tl2br w:val="nil"/>
              <w:tr2bl w:val="nil"/>
            </w:tcBorders>
            <w:vAlign w:val="center"/>
          </w:tcPr>
          <w:p w14:paraId="2395629F">
            <w:pPr>
              <w:spacing w:after="0" w:line="320" w:lineRule="exact"/>
              <w:jc w:val="center"/>
              <w:rPr>
                <w:rFonts w:hint="eastAsia" w:cs="仿宋" w:asciiTheme="minorEastAsia" w:hAnsiTheme="minorEastAsia" w:eastAsiaTheme="minorEastAsia"/>
                <w:sz w:val="18"/>
                <w:szCs w:val="18"/>
                <w:lang w:val="en-US" w:eastAsia="zh-CN"/>
              </w:rPr>
            </w:pPr>
            <w:bookmarkStart w:id="181" w:name="_Toc26320"/>
            <w:bookmarkStart w:id="182" w:name="_Toc190"/>
            <w:bookmarkStart w:id="183" w:name="_Toc5083"/>
            <w:r>
              <w:rPr>
                <w:rFonts w:hint="eastAsia" w:cs="仿宋" w:asciiTheme="minorEastAsia" w:hAnsiTheme="minorEastAsia" w:eastAsiaTheme="minorEastAsia"/>
                <w:sz w:val="18"/>
                <w:szCs w:val="18"/>
                <w:lang w:val="en-US" w:eastAsia="zh-CN"/>
              </w:rPr>
              <w:t>3</w:t>
            </w:r>
          </w:p>
        </w:tc>
        <w:tc>
          <w:tcPr>
            <w:tcW w:w="1055" w:type="dxa"/>
            <w:tcBorders>
              <w:tl2br w:val="nil"/>
              <w:tr2bl w:val="nil"/>
            </w:tcBorders>
            <w:vAlign w:val="center"/>
          </w:tcPr>
          <w:p w14:paraId="3ADE0D0D">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eastAsia="zh-CN"/>
              </w:rPr>
              <w:t>经济学基础</w:t>
            </w:r>
          </w:p>
        </w:tc>
        <w:tc>
          <w:tcPr>
            <w:tcW w:w="7181" w:type="dxa"/>
            <w:tcBorders>
              <w:tl2br w:val="nil"/>
              <w:tr2bl w:val="nil"/>
            </w:tcBorders>
            <w:vAlign w:val="top"/>
          </w:tcPr>
          <w:p w14:paraId="20AA1CF6">
            <w:pPr>
              <w:spacing w:after="0" w:line="320" w:lineRule="exact"/>
              <w:ind w:firstLine="360" w:firstLineChars="200"/>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课程分为微观经济学和宏观经济学两部分：微观部分通过供求关系、市场结构、消费者行为等内容，帮助学生理解个体经济决策原理；宏观部分通过国民收入、通货膨胀、财政货币政策等内容，使学生掌握整体经济运行规律。课程要求学生掌握经济学基本概念和分析方法，能够运用经济学原理解释常见经济现象。</w:t>
            </w:r>
          </w:p>
        </w:tc>
        <w:tc>
          <w:tcPr>
            <w:tcW w:w="690" w:type="dxa"/>
            <w:tcBorders>
              <w:tl2br w:val="nil"/>
              <w:tr2bl w:val="nil"/>
            </w:tcBorders>
            <w:vAlign w:val="center"/>
          </w:tcPr>
          <w:p w14:paraId="4E19BB3D">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72</w:t>
            </w:r>
          </w:p>
        </w:tc>
      </w:tr>
      <w:tr w14:paraId="7F474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7" w:type="dxa"/>
            <w:tcBorders>
              <w:tl2br w:val="nil"/>
              <w:tr2bl w:val="nil"/>
            </w:tcBorders>
            <w:vAlign w:val="center"/>
          </w:tcPr>
          <w:p w14:paraId="1AC3C89C">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4</w:t>
            </w:r>
          </w:p>
        </w:tc>
        <w:tc>
          <w:tcPr>
            <w:tcW w:w="1055" w:type="dxa"/>
            <w:tcBorders>
              <w:tl2br w:val="nil"/>
              <w:tr2bl w:val="nil"/>
            </w:tcBorders>
            <w:vAlign w:val="center"/>
          </w:tcPr>
          <w:p w14:paraId="0B59BFEE">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民法学基础</w:t>
            </w:r>
          </w:p>
        </w:tc>
        <w:tc>
          <w:tcPr>
            <w:tcW w:w="7181" w:type="dxa"/>
            <w:tcBorders>
              <w:tl2br w:val="nil"/>
              <w:tr2bl w:val="nil"/>
            </w:tcBorders>
            <w:vAlign w:val="top"/>
          </w:tcPr>
          <w:p w14:paraId="7A68E92F">
            <w:pPr>
              <w:spacing w:after="0" w:line="320" w:lineRule="exact"/>
              <w:ind w:firstLine="360" w:firstLineChars="200"/>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rPr>
              <w:t>课程分为总则和分则两部分：总则部分通过民事法律关系、民事主体、民事法律行为等内容，帮助学生掌握民法基本原理；分则部分通过物权、债权、人格权等具体制度，使学生理解民事权利体系。课程要求学生掌握民法基本概念和制度框架，具备运用民法知识分析解决常见民事纠纷的初步能力。</w:t>
            </w:r>
          </w:p>
        </w:tc>
        <w:tc>
          <w:tcPr>
            <w:tcW w:w="690" w:type="dxa"/>
            <w:tcBorders>
              <w:tl2br w:val="nil"/>
              <w:tr2bl w:val="nil"/>
            </w:tcBorders>
            <w:vAlign w:val="center"/>
          </w:tcPr>
          <w:p w14:paraId="3341BA79">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72</w:t>
            </w:r>
          </w:p>
        </w:tc>
      </w:tr>
      <w:tr w14:paraId="5D88D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5" w:hRule="atLeast"/>
        </w:trPr>
        <w:tc>
          <w:tcPr>
            <w:tcW w:w="397" w:type="dxa"/>
            <w:tcBorders>
              <w:tl2br w:val="nil"/>
              <w:tr2bl w:val="nil"/>
            </w:tcBorders>
            <w:vAlign w:val="center"/>
          </w:tcPr>
          <w:p w14:paraId="06986D68">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5</w:t>
            </w:r>
          </w:p>
        </w:tc>
        <w:tc>
          <w:tcPr>
            <w:tcW w:w="1055" w:type="dxa"/>
            <w:tcBorders>
              <w:tl2br w:val="nil"/>
              <w:tr2bl w:val="nil"/>
            </w:tcBorders>
            <w:vAlign w:val="center"/>
          </w:tcPr>
          <w:p w14:paraId="379E9C4C">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客户关系管理</w:t>
            </w:r>
          </w:p>
        </w:tc>
        <w:tc>
          <w:tcPr>
            <w:tcW w:w="7181" w:type="dxa"/>
            <w:tcBorders>
              <w:tl2br w:val="nil"/>
              <w:tr2bl w:val="nil"/>
            </w:tcBorders>
            <w:vAlign w:val="top"/>
          </w:tcPr>
          <w:p w14:paraId="0042F367">
            <w:pPr>
              <w:spacing w:after="0" w:line="320" w:lineRule="exact"/>
              <w:ind w:firstLine="360" w:firstLineChars="200"/>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 xml:space="preserve">课程分为理论基础和实践应用两部分：理论基础部分通过客户需求分析、消费心理特征、行为决策机制等内容，帮助学生掌握客户心理活动规律；实践应用部分通过客户沟通技巧、投诉处理策略、服务体验设计等实务训练，培养学生客户服务能力。课程要求学生掌握客户心理分析的基本方法，能够运用心理学知识提升服务质量与客户满意度。  </w:t>
            </w:r>
          </w:p>
        </w:tc>
        <w:tc>
          <w:tcPr>
            <w:tcW w:w="690" w:type="dxa"/>
            <w:tcBorders>
              <w:tl2br w:val="nil"/>
              <w:tr2bl w:val="nil"/>
            </w:tcBorders>
            <w:vAlign w:val="center"/>
          </w:tcPr>
          <w:p w14:paraId="1AD021FA">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72</w:t>
            </w:r>
          </w:p>
        </w:tc>
      </w:tr>
      <w:bookmarkEnd w:id="181"/>
      <w:bookmarkEnd w:id="182"/>
      <w:bookmarkEnd w:id="183"/>
      <w:tr w14:paraId="45AF4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dxa"/>
            <w:tcBorders>
              <w:tl2br w:val="nil"/>
              <w:tr2bl w:val="nil"/>
            </w:tcBorders>
            <w:shd w:val="clear" w:color="auto" w:fill="auto"/>
            <w:vAlign w:val="center"/>
          </w:tcPr>
          <w:p w14:paraId="5ECC02ED">
            <w:pPr>
              <w:spacing w:after="0" w:line="320" w:lineRule="exact"/>
              <w:jc w:val="center"/>
              <w:rPr>
                <w:rFonts w:hint="default" w:cs="仿宋" w:asciiTheme="minorEastAsia" w:hAnsiTheme="minorEastAsia" w:eastAsiaTheme="minorEastAsia"/>
                <w:color w:val="auto"/>
                <w:sz w:val="18"/>
                <w:szCs w:val="18"/>
                <w:lang w:val="en-US" w:eastAsia="zh-CN" w:bidi="ar-SA"/>
              </w:rPr>
            </w:pPr>
            <w:bookmarkStart w:id="184" w:name="_Toc27056"/>
            <w:r>
              <w:rPr>
                <w:rFonts w:hint="eastAsia" w:cs="仿宋" w:asciiTheme="minorEastAsia" w:hAnsiTheme="minorEastAsia" w:eastAsiaTheme="minorEastAsia"/>
                <w:color w:val="auto"/>
                <w:sz w:val="18"/>
                <w:szCs w:val="18"/>
                <w:lang w:val="en-US" w:eastAsia="zh-CN" w:bidi="ar-SA"/>
              </w:rPr>
              <w:t>6</w:t>
            </w:r>
          </w:p>
        </w:tc>
        <w:tc>
          <w:tcPr>
            <w:tcW w:w="1055" w:type="dxa"/>
            <w:tcBorders>
              <w:tl2br w:val="nil"/>
              <w:tr2bl w:val="nil"/>
            </w:tcBorders>
            <w:shd w:val="clear" w:color="auto" w:fill="auto"/>
            <w:vAlign w:val="center"/>
          </w:tcPr>
          <w:p w14:paraId="5A3472A8">
            <w:pPr>
              <w:spacing w:after="0" w:line="320" w:lineRule="exact"/>
              <w:jc w:val="center"/>
              <w:rPr>
                <w:rFonts w:hint="eastAsia" w:cs="仿宋" w:asciiTheme="minorEastAsia" w:hAnsiTheme="minorEastAsia" w:eastAsiaTheme="minorEastAsia"/>
                <w:color w:val="auto"/>
                <w:sz w:val="18"/>
                <w:szCs w:val="18"/>
                <w:lang w:val="en-US" w:eastAsia="zh-CN" w:bidi="ar-SA"/>
              </w:rPr>
            </w:pPr>
            <w:r>
              <w:rPr>
                <w:rFonts w:hint="eastAsia" w:cs="仿宋" w:asciiTheme="minorEastAsia" w:hAnsiTheme="minorEastAsia" w:eastAsiaTheme="minorEastAsia"/>
                <w:color w:val="auto"/>
                <w:sz w:val="18"/>
                <w:szCs w:val="18"/>
                <w:lang w:val="en-US" w:eastAsia="zh-CN"/>
              </w:rPr>
              <w:t>物业管理实务</w:t>
            </w:r>
          </w:p>
        </w:tc>
        <w:tc>
          <w:tcPr>
            <w:tcW w:w="7181" w:type="dxa"/>
            <w:tcBorders>
              <w:tl2br w:val="nil"/>
              <w:tr2bl w:val="nil"/>
            </w:tcBorders>
            <w:shd w:val="clear" w:color="auto" w:fill="auto"/>
            <w:vAlign w:val="top"/>
          </w:tcPr>
          <w:p w14:paraId="7FCEBFDD">
            <w:pPr>
              <w:spacing w:after="0" w:line="320" w:lineRule="exact"/>
              <w:ind w:firstLine="360" w:firstLineChars="200"/>
              <w:rPr>
                <w:rFonts w:hint="eastAsia" w:cs="仿宋" w:asciiTheme="minorEastAsia" w:hAnsiTheme="minorEastAsia" w:eastAsiaTheme="minorEastAsia"/>
                <w:color w:val="auto"/>
                <w:sz w:val="18"/>
                <w:szCs w:val="18"/>
                <w:lang w:val="en-US" w:eastAsia="zh-CN" w:bidi="ar-SA"/>
              </w:rPr>
            </w:pPr>
            <w:r>
              <w:rPr>
                <w:rFonts w:hint="eastAsia" w:cs="仿宋" w:asciiTheme="minorEastAsia" w:hAnsiTheme="minorEastAsia" w:eastAsiaTheme="minorEastAsia"/>
                <w:color w:val="auto"/>
                <w:sz w:val="18"/>
                <w:szCs w:val="18"/>
                <w:lang w:val="en-US" w:eastAsia="zh-CN"/>
              </w:rPr>
              <w:t>课程分为基础理论和服务实操两部分：基础理论部分通过物业管理流程、服务标准体系、权责划分等内容，帮助学生建立系统的物业管理认知框架；服务实操部分通过客户服务模拟、物业费收缴演练、装修监管实训等情景化训练，培养学生实务操作能力。课程要求学生掌握物业管理全周期服务流程，具备独立处理日常事务、协调多方关系和提升服务品质的专业实践能力。</w:t>
            </w:r>
          </w:p>
        </w:tc>
        <w:tc>
          <w:tcPr>
            <w:tcW w:w="690" w:type="dxa"/>
            <w:tcBorders>
              <w:tl2br w:val="nil"/>
              <w:tr2bl w:val="nil"/>
            </w:tcBorders>
            <w:shd w:val="clear" w:color="auto" w:fill="auto"/>
            <w:vAlign w:val="center"/>
          </w:tcPr>
          <w:p w14:paraId="312CDB19">
            <w:pPr>
              <w:spacing w:after="0" w:line="320" w:lineRule="exact"/>
              <w:jc w:val="center"/>
              <w:rPr>
                <w:rFonts w:hint="eastAsia" w:cs="仿宋" w:asciiTheme="minorEastAsia" w:hAnsiTheme="minorEastAsia" w:eastAsiaTheme="minorEastAsia"/>
                <w:color w:val="auto"/>
                <w:sz w:val="18"/>
                <w:szCs w:val="18"/>
                <w:lang w:val="en-US" w:eastAsia="zh-CN" w:bidi="ar-SA"/>
              </w:rPr>
            </w:pPr>
            <w:r>
              <w:rPr>
                <w:rFonts w:hint="eastAsia" w:cs="仿宋" w:asciiTheme="minorEastAsia" w:hAnsiTheme="minorEastAsia" w:eastAsiaTheme="minorEastAsia"/>
                <w:color w:val="auto"/>
                <w:sz w:val="18"/>
                <w:szCs w:val="18"/>
                <w:lang w:val="en-US" w:eastAsia="zh-CN"/>
              </w:rPr>
              <w:t>72</w:t>
            </w:r>
          </w:p>
        </w:tc>
      </w:tr>
      <w:tr w14:paraId="582EF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dxa"/>
            <w:tcBorders>
              <w:tl2br w:val="nil"/>
              <w:tr2bl w:val="nil"/>
            </w:tcBorders>
            <w:vAlign w:val="center"/>
          </w:tcPr>
          <w:p w14:paraId="395DA903">
            <w:pPr>
              <w:spacing w:after="0" w:line="320" w:lineRule="exact"/>
              <w:jc w:val="center"/>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7</w:t>
            </w:r>
          </w:p>
        </w:tc>
        <w:tc>
          <w:tcPr>
            <w:tcW w:w="1055" w:type="dxa"/>
            <w:tcBorders>
              <w:tl2br w:val="nil"/>
              <w:tr2bl w:val="nil"/>
            </w:tcBorders>
            <w:vAlign w:val="center"/>
          </w:tcPr>
          <w:p w14:paraId="096EA49F">
            <w:pPr>
              <w:spacing w:after="0" w:line="320" w:lineRule="exact"/>
              <w:jc w:val="center"/>
              <w:rPr>
                <w:rFonts w:hint="eastAsia" w:cs="仿宋" w:asciiTheme="minorEastAsia" w:hAnsiTheme="minorEastAsia" w:eastAsiaTheme="minorEastAsia"/>
                <w:color w:val="C00000"/>
                <w:sz w:val="18"/>
                <w:szCs w:val="18"/>
                <w:lang w:val="en-US" w:eastAsia="zh-CN"/>
              </w:rPr>
            </w:pPr>
            <w:r>
              <w:rPr>
                <w:rFonts w:hint="eastAsia" w:cs="仿宋" w:asciiTheme="minorEastAsia" w:hAnsiTheme="minorEastAsia" w:eastAsiaTheme="minorEastAsia"/>
                <w:sz w:val="18"/>
                <w:szCs w:val="18"/>
                <w:lang w:val="en-US" w:eastAsia="zh-CN"/>
              </w:rPr>
              <w:t>物业服务标准化</w:t>
            </w:r>
          </w:p>
        </w:tc>
        <w:tc>
          <w:tcPr>
            <w:tcW w:w="7181" w:type="dxa"/>
            <w:tcBorders>
              <w:tl2br w:val="nil"/>
              <w:tr2bl w:val="nil"/>
            </w:tcBorders>
            <w:vAlign w:val="top"/>
          </w:tcPr>
          <w:p w14:paraId="0D3C579E">
            <w:pPr>
              <w:spacing w:after="0" w:line="320" w:lineRule="exact"/>
              <w:ind w:firstLine="360" w:firstLineChars="200"/>
              <w:rPr>
                <w:rFonts w:hint="eastAsia" w:cs="仿宋" w:asciiTheme="minorEastAsia" w:hAnsiTheme="minorEastAsia" w:eastAsiaTheme="minorEastAsia"/>
                <w:color w:val="C00000"/>
                <w:sz w:val="18"/>
                <w:szCs w:val="18"/>
              </w:rPr>
            </w:pPr>
            <w:r>
              <w:rPr>
                <w:rFonts w:hint="eastAsia" w:cs="仿宋" w:asciiTheme="minorEastAsia" w:hAnsiTheme="minorEastAsia" w:eastAsiaTheme="minorEastAsia"/>
                <w:color w:val="auto"/>
                <w:sz w:val="18"/>
                <w:szCs w:val="18"/>
                <w:lang w:val="en-US" w:eastAsia="zh-CN"/>
              </w:rPr>
              <w:t>课程分为标准体系构建和标准实施管理两部分：标准体系构建部分通过服务标准分类、指标设定方法、国际标准（ISO 41001）与国家标准（GB/T 20647）对比等内容，帮助学生掌握标准化建设原理；标准实施管理部分通过服务流程优化、质量评估工具应用、认证审核模拟等实训，培养学生标准化落地能力。课程要求学生掌握5大核心服务标准模块（基础服务/设备管理/安全防范/环境维护/客户服务），具备制定企业服务标准手册和开展PDCA质量改进的专业能力。</w:t>
            </w:r>
            <w:r>
              <w:rPr>
                <w:rFonts w:hint="default" w:cs="仿宋" w:asciiTheme="minorEastAsia" w:hAnsiTheme="minorEastAsia" w:eastAsiaTheme="minorEastAsia"/>
                <w:color w:val="auto"/>
                <w:sz w:val="18"/>
                <w:szCs w:val="18"/>
                <w:lang w:val="en-US" w:eastAsia="zh-CN"/>
              </w:rPr>
              <w:t xml:space="preserve">  </w:t>
            </w:r>
          </w:p>
        </w:tc>
        <w:tc>
          <w:tcPr>
            <w:tcW w:w="690" w:type="dxa"/>
            <w:tcBorders>
              <w:tl2br w:val="nil"/>
              <w:tr2bl w:val="nil"/>
            </w:tcBorders>
            <w:vAlign w:val="center"/>
          </w:tcPr>
          <w:p w14:paraId="116CBF33">
            <w:pPr>
              <w:spacing w:after="0" w:line="320" w:lineRule="exact"/>
              <w:jc w:val="center"/>
              <w:rPr>
                <w:rFonts w:hint="default" w:cs="仿宋" w:asciiTheme="minorEastAsia" w:hAnsiTheme="minorEastAsia" w:eastAsiaTheme="minorEastAsia"/>
                <w:sz w:val="18"/>
                <w:szCs w:val="18"/>
                <w:lang w:val="en-US"/>
              </w:rPr>
            </w:pPr>
            <w:r>
              <w:rPr>
                <w:rFonts w:hint="eastAsia" w:cs="仿宋" w:asciiTheme="minorEastAsia" w:hAnsiTheme="minorEastAsia" w:eastAsiaTheme="minorEastAsia"/>
                <w:sz w:val="18"/>
                <w:szCs w:val="18"/>
                <w:lang w:val="en-US" w:eastAsia="zh-CN"/>
              </w:rPr>
              <w:t>72</w:t>
            </w:r>
          </w:p>
        </w:tc>
      </w:tr>
    </w:tbl>
    <w:p w14:paraId="19A22912">
      <w:pPr>
        <w:overflowPunct w:val="0"/>
        <w:adjustRightInd w:val="0"/>
        <w:spacing w:after="0" w:line="440" w:lineRule="exact"/>
        <w:ind w:firstLine="480"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2）</w:t>
      </w:r>
      <w:r>
        <w:rPr>
          <w:rFonts w:hint="eastAsia" w:asciiTheme="minorEastAsia" w:hAnsiTheme="minorEastAsia" w:eastAsiaTheme="minorEastAsia"/>
          <w:b/>
          <w:bCs/>
          <w:sz w:val="24"/>
          <w:szCs w:val="24"/>
        </w:rPr>
        <w:t>专业核心课程</w:t>
      </w:r>
      <w:bookmarkEnd w:id="184"/>
    </w:p>
    <w:p w14:paraId="79760270">
      <w:pPr>
        <w:pStyle w:val="25"/>
      </w:pPr>
      <w:bookmarkStart w:id="185" w:name="_Toc102927736"/>
      <w:bookmarkStart w:id="186" w:name="_Toc102927440"/>
      <w:r>
        <w:t>表</w:t>
      </w:r>
      <w:r>
        <w:rPr>
          <w:spacing w:val="-55"/>
        </w:rPr>
        <w:t xml:space="preserve"> </w:t>
      </w:r>
      <w:r>
        <w:t>6</w:t>
      </w:r>
      <w:r>
        <w:rPr>
          <w:rFonts w:hint="eastAsia"/>
        </w:rPr>
        <w:t>：高职专业核心课</w:t>
      </w:r>
      <w:bookmarkEnd w:id="185"/>
      <w:bookmarkEnd w:id="186"/>
    </w:p>
    <w:tbl>
      <w:tblPr>
        <w:tblStyle w:val="14"/>
        <w:tblW w:w="9358" w:type="dxa"/>
        <w:jc w:val="center"/>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08"/>
        <w:gridCol w:w="949"/>
        <w:gridCol w:w="7376"/>
        <w:gridCol w:w="625"/>
      </w:tblGrid>
      <w:tr w14:paraId="5F66F6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08" w:type="dxa"/>
            <w:tcBorders>
              <w:top w:val="single" w:color="auto" w:sz="4" w:space="0"/>
              <w:left w:val="single" w:color="auto" w:sz="4" w:space="0"/>
              <w:tl2br w:val="nil"/>
              <w:tr2bl w:val="nil"/>
            </w:tcBorders>
            <w:shd w:val="clear" w:color="auto" w:fill="D9E2F3" w:themeFill="accent5" w:themeFillTint="33"/>
            <w:vAlign w:val="center"/>
          </w:tcPr>
          <w:p w14:paraId="62EB3E53">
            <w:pPr>
              <w:spacing w:after="0" w:line="320" w:lineRule="exact"/>
              <w:jc w:val="center"/>
              <w:rPr>
                <w:rFonts w:asciiTheme="minorEastAsia" w:hAnsiTheme="minorEastAsia" w:eastAsiaTheme="minorEastAsia"/>
                <w:b/>
                <w:sz w:val="18"/>
                <w:szCs w:val="18"/>
              </w:rPr>
            </w:pPr>
            <w:bookmarkStart w:id="187" w:name="_Toc5115"/>
            <w:bookmarkStart w:id="188" w:name="_Toc26678"/>
            <w:bookmarkStart w:id="189" w:name="_Toc12391"/>
            <w:r>
              <w:rPr>
                <w:rFonts w:hint="eastAsia" w:asciiTheme="minorEastAsia" w:hAnsiTheme="minorEastAsia" w:eastAsiaTheme="minorEastAsia"/>
                <w:b/>
                <w:sz w:val="18"/>
                <w:szCs w:val="18"/>
              </w:rPr>
              <w:t>序号</w:t>
            </w:r>
            <w:bookmarkEnd w:id="187"/>
            <w:bookmarkEnd w:id="188"/>
            <w:bookmarkEnd w:id="189"/>
          </w:p>
        </w:tc>
        <w:tc>
          <w:tcPr>
            <w:tcW w:w="949" w:type="dxa"/>
            <w:tcBorders>
              <w:top w:val="single" w:color="auto" w:sz="4" w:space="0"/>
              <w:tl2br w:val="nil"/>
              <w:tr2bl w:val="nil"/>
            </w:tcBorders>
            <w:shd w:val="clear" w:color="auto" w:fill="D9E2F3" w:themeFill="accent5" w:themeFillTint="33"/>
            <w:vAlign w:val="center"/>
          </w:tcPr>
          <w:p w14:paraId="149084CB">
            <w:pPr>
              <w:spacing w:after="0" w:line="320" w:lineRule="exact"/>
              <w:jc w:val="center"/>
              <w:rPr>
                <w:rFonts w:asciiTheme="minorEastAsia" w:hAnsiTheme="minorEastAsia" w:eastAsiaTheme="minorEastAsia"/>
                <w:b/>
                <w:sz w:val="18"/>
                <w:szCs w:val="18"/>
              </w:rPr>
            </w:pPr>
            <w:bookmarkStart w:id="190" w:name="_Toc24383"/>
            <w:bookmarkStart w:id="191" w:name="_Toc29449"/>
            <w:bookmarkStart w:id="192" w:name="_Toc28875"/>
            <w:r>
              <w:rPr>
                <w:rFonts w:hint="eastAsia" w:asciiTheme="minorEastAsia" w:hAnsiTheme="minorEastAsia" w:eastAsiaTheme="minorEastAsia"/>
                <w:b/>
                <w:sz w:val="18"/>
                <w:szCs w:val="18"/>
              </w:rPr>
              <w:t>专业核心</w:t>
            </w:r>
            <w:r>
              <w:rPr>
                <w:rFonts w:asciiTheme="minorEastAsia" w:hAnsiTheme="minorEastAsia" w:eastAsiaTheme="minorEastAsia"/>
                <w:b/>
                <w:sz w:val="18"/>
                <w:szCs w:val="18"/>
              </w:rPr>
              <w:t>课程</w:t>
            </w:r>
            <w:bookmarkEnd w:id="190"/>
            <w:bookmarkEnd w:id="191"/>
            <w:bookmarkEnd w:id="192"/>
          </w:p>
        </w:tc>
        <w:tc>
          <w:tcPr>
            <w:tcW w:w="7376" w:type="dxa"/>
            <w:tcBorders>
              <w:top w:val="single" w:color="auto" w:sz="4" w:space="0"/>
              <w:right w:val="single" w:color="auto" w:sz="4" w:space="0"/>
              <w:tl2br w:val="nil"/>
              <w:tr2bl w:val="nil"/>
            </w:tcBorders>
            <w:shd w:val="clear" w:color="auto" w:fill="D9E2F3" w:themeFill="accent5" w:themeFillTint="33"/>
            <w:vAlign w:val="center"/>
          </w:tcPr>
          <w:p w14:paraId="7D112AED">
            <w:pPr>
              <w:spacing w:after="0" w:line="320" w:lineRule="exact"/>
              <w:jc w:val="center"/>
              <w:rPr>
                <w:rFonts w:asciiTheme="minorEastAsia" w:hAnsiTheme="minorEastAsia" w:eastAsiaTheme="minorEastAsia"/>
                <w:b/>
                <w:sz w:val="18"/>
                <w:szCs w:val="18"/>
              </w:rPr>
            </w:pPr>
            <w:bookmarkStart w:id="193" w:name="_Toc24021"/>
            <w:bookmarkStart w:id="194" w:name="_Toc23042"/>
            <w:bookmarkStart w:id="195" w:name="_Toc29628"/>
            <w:r>
              <w:rPr>
                <w:rFonts w:hint="eastAsia" w:asciiTheme="minorEastAsia" w:hAnsiTheme="minorEastAsia" w:eastAsiaTheme="minorEastAsia"/>
                <w:b/>
                <w:sz w:val="18"/>
                <w:szCs w:val="18"/>
              </w:rPr>
              <w:t>主要教学内容与要求</w:t>
            </w:r>
            <w:bookmarkEnd w:id="193"/>
            <w:bookmarkEnd w:id="194"/>
            <w:bookmarkEnd w:id="195"/>
          </w:p>
        </w:tc>
        <w:tc>
          <w:tcPr>
            <w:tcW w:w="625" w:type="dxa"/>
            <w:tcBorders>
              <w:top w:val="single" w:color="auto" w:sz="4" w:space="0"/>
              <w:right w:val="single" w:color="auto" w:sz="4" w:space="0"/>
              <w:tl2br w:val="nil"/>
              <w:tr2bl w:val="nil"/>
            </w:tcBorders>
            <w:shd w:val="clear" w:color="auto" w:fill="D9E2F3" w:themeFill="accent5" w:themeFillTint="33"/>
            <w:vAlign w:val="center"/>
          </w:tcPr>
          <w:p w14:paraId="52C8C0BE">
            <w:pPr>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参考</w:t>
            </w:r>
          </w:p>
          <w:p w14:paraId="1B9C2593">
            <w:pPr>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w:t>
            </w:r>
          </w:p>
        </w:tc>
      </w:tr>
      <w:tr w14:paraId="7990CE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94" w:hRule="atLeast"/>
          <w:jc w:val="center"/>
        </w:trPr>
        <w:tc>
          <w:tcPr>
            <w:tcW w:w="408" w:type="dxa"/>
            <w:tcBorders>
              <w:left w:val="single" w:color="auto" w:sz="4" w:space="0"/>
              <w:tl2br w:val="nil"/>
              <w:tr2bl w:val="nil"/>
            </w:tcBorders>
            <w:vAlign w:val="center"/>
          </w:tcPr>
          <w:p w14:paraId="1BE96E35">
            <w:pPr>
              <w:spacing w:after="0" w:line="320" w:lineRule="exact"/>
              <w:jc w:val="center"/>
              <w:rPr>
                <w:rFonts w:cs="仿宋" w:asciiTheme="minorEastAsia" w:hAnsiTheme="minorEastAsia" w:eastAsiaTheme="minorEastAsia"/>
                <w:color w:val="auto"/>
                <w:sz w:val="18"/>
                <w:szCs w:val="18"/>
              </w:rPr>
            </w:pPr>
            <w:bookmarkStart w:id="196" w:name="_Toc32475"/>
            <w:bookmarkStart w:id="197" w:name="_Toc22920"/>
            <w:bookmarkStart w:id="198" w:name="_Toc19766"/>
            <w:r>
              <w:rPr>
                <w:rFonts w:hint="eastAsia" w:cs="仿宋" w:asciiTheme="minorEastAsia" w:hAnsiTheme="minorEastAsia" w:eastAsiaTheme="minorEastAsia"/>
                <w:color w:val="auto"/>
                <w:sz w:val="18"/>
                <w:szCs w:val="18"/>
              </w:rPr>
              <w:t>1</w:t>
            </w:r>
            <w:bookmarkEnd w:id="196"/>
            <w:bookmarkEnd w:id="197"/>
            <w:bookmarkEnd w:id="198"/>
          </w:p>
        </w:tc>
        <w:tc>
          <w:tcPr>
            <w:tcW w:w="949" w:type="dxa"/>
            <w:tcBorders>
              <w:tl2br w:val="nil"/>
              <w:tr2bl w:val="nil"/>
            </w:tcBorders>
            <w:vAlign w:val="center"/>
          </w:tcPr>
          <w:p w14:paraId="7079F164">
            <w:pPr>
              <w:spacing w:after="0" w:line="320" w:lineRule="exact"/>
              <w:jc w:val="center"/>
              <w:rPr>
                <w:rFonts w:cs="仿宋" w:asciiTheme="minorEastAsia" w:hAnsiTheme="minorEastAsia" w:eastAsiaTheme="minorEastAsia"/>
                <w:color w:val="auto"/>
                <w:sz w:val="18"/>
                <w:szCs w:val="18"/>
              </w:rPr>
            </w:pPr>
            <w:r>
              <w:rPr>
                <w:rFonts w:hint="eastAsia" w:cs="仿宋" w:asciiTheme="minorEastAsia" w:hAnsiTheme="minorEastAsia" w:eastAsiaTheme="minorEastAsia"/>
                <w:color w:val="auto"/>
                <w:sz w:val="18"/>
                <w:szCs w:val="18"/>
                <w:lang w:val="en-US" w:eastAsia="zh-CN"/>
              </w:rPr>
              <w:t>物业管理法律法规</w:t>
            </w:r>
          </w:p>
        </w:tc>
        <w:tc>
          <w:tcPr>
            <w:tcW w:w="7376" w:type="dxa"/>
            <w:tcBorders>
              <w:right w:val="single" w:color="auto" w:sz="4" w:space="0"/>
              <w:tl2br w:val="nil"/>
              <w:tr2bl w:val="nil"/>
            </w:tcBorders>
          </w:tcPr>
          <w:p w14:paraId="5256DAB6">
            <w:pPr>
              <w:spacing w:after="0" w:line="320" w:lineRule="exact"/>
              <w:ind w:firstLine="360" w:firstLineChars="200"/>
              <w:rPr>
                <w:rFonts w:cs="仿宋" w:asciiTheme="minorEastAsia" w:hAnsiTheme="minorEastAsia" w:eastAsiaTheme="minorEastAsia"/>
                <w:color w:val="auto"/>
                <w:sz w:val="18"/>
                <w:szCs w:val="18"/>
              </w:rPr>
            </w:pPr>
            <w:r>
              <w:rPr>
                <w:rFonts w:hint="eastAsia" w:cs="仿宋" w:asciiTheme="minorEastAsia" w:hAnsiTheme="minorEastAsia" w:eastAsiaTheme="minorEastAsia"/>
                <w:color w:val="auto"/>
                <w:sz w:val="18"/>
                <w:szCs w:val="18"/>
                <w:lang w:val="en-US" w:eastAsia="zh-CN"/>
              </w:rPr>
              <w:t>课程分为法律基础和实务应用两部分：法律基础部分通过《民法典》物权编、《物业管理条例》等核心法规，帮助学生掌握物业管理法律体系；实务应用部分通过业委会运作、物业服务合同、纠纷处理等典型案例，培养学生法律实务能力。课程要求学生掌握15部核心法规要点，具备运用法律知识规范物业服务、处理常见纠纷的实践能力。</w:t>
            </w:r>
          </w:p>
        </w:tc>
        <w:tc>
          <w:tcPr>
            <w:tcW w:w="625" w:type="dxa"/>
            <w:tcBorders>
              <w:right w:val="single" w:color="auto" w:sz="4" w:space="0"/>
              <w:tl2br w:val="nil"/>
              <w:tr2bl w:val="nil"/>
            </w:tcBorders>
            <w:vAlign w:val="center"/>
          </w:tcPr>
          <w:p w14:paraId="12312C20">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72</w:t>
            </w:r>
          </w:p>
        </w:tc>
      </w:tr>
      <w:tr w14:paraId="1B33512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594" w:hRule="atLeast"/>
          <w:jc w:val="center"/>
        </w:trPr>
        <w:tc>
          <w:tcPr>
            <w:tcW w:w="408" w:type="dxa"/>
            <w:tcBorders>
              <w:left w:val="single" w:color="auto" w:sz="4" w:space="0"/>
              <w:tl2br w:val="nil"/>
              <w:tr2bl w:val="nil"/>
            </w:tcBorders>
            <w:vAlign w:val="center"/>
          </w:tcPr>
          <w:p w14:paraId="0C69DDBE">
            <w:pPr>
              <w:spacing w:after="0" w:line="320" w:lineRule="exact"/>
              <w:jc w:val="center"/>
              <w:rPr>
                <w:rFonts w:hint="eastAsia" w:cs="仿宋" w:asciiTheme="minorEastAsia" w:hAnsiTheme="minorEastAsia" w:eastAsiaTheme="minorEastAsia"/>
                <w:color w:val="auto"/>
                <w:sz w:val="18"/>
                <w:szCs w:val="18"/>
                <w:lang w:eastAsia="zh-CN"/>
              </w:rPr>
            </w:pPr>
            <w:r>
              <w:rPr>
                <w:rFonts w:hint="eastAsia" w:cs="仿宋" w:asciiTheme="minorEastAsia" w:hAnsiTheme="minorEastAsia" w:eastAsiaTheme="minorEastAsia"/>
                <w:color w:val="auto"/>
                <w:sz w:val="18"/>
                <w:szCs w:val="18"/>
                <w:lang w:val="en-US" w:eastAsia="zh-CN"/>
              </w:rPr>
              <w:t>2</w:t>
            </w:r>
          </w:p>
        </w:tc>
        <w:tc>
          <w:tcPr>
            <w:tcW w:w="949" w:type="dxa"/>
            <w:tcBorders>
              <w:tl2br w:val="nil"/>
              <w:tr2bl w:val="nil"/>
            </w:tcBorders>
            <w:vAlign w:val="center"/>
          </w:tcPr>
          <w:p w14:paraId="7C6A9CDF">
            <w:pPr>
              <w:spacing w:after="0" w:line="320" w:lineRule="exact"/>
              <w:jc w:val="center"/>
              <w:rPr>
                <w:rFonts w:cs="仿宋" w:asciiTheme="minorEastAsia" w:hAnsiTheme="minorEastAsia" w:eastAsiaTheme="minorEastAsia"/>
                <w:color w:val="auto"/>
                <w:sz w:val="18"/>
                <w:szCs w:val="18"/>
              </w:rPr>
            </w:pPr>
            <w:r>
              <w:rPr>
                <w:rFonts w:hint="eastAsia" w:cs="仿宋" w:asciiTheme="minorEastAsia" w:hAnsiTheme="minorEastAsia" w:eastAsiaTheme="minorEastAsia"/>
                <w:color w:val="auto"/>
                <w:sz w:val="18"/>
                <w:szCs w:val="18"/>
                <w:lang w:val="en-US" w:eastAsia="zh-CN"/>
              </w:rPr>
              <w:t>物业设施设备管理</w:t>
            </w:r>
          </w:p>
        </w:tc>
        <w:tc>
          <w:tcPr>
            <w:tcW w:w="7376" w:type="dxa"/>
            <w:tcBorders>
              <w:right w:val="single" w:color="auto" w:sz="4" w:space="0"/>
              <w:tl2br w:val="nil"/>
              <w:tr2bl w:val="nil"/>
            </w:tcBorders>
          </w:tcPr>
          <w:p w14:paraId="552A80A3">
            <w:pPr>
              <w:spacing w:after="0" w:line="320" w:lineRule="exact"/>
              <w:ind w:firstLine="360" w:firstLineChars="200"/>
              <w:rPr>
                <w:rFonts w:cs="仿宋" w:asciiTheme="minorEastAsia" w:hAnsiTheme="minorEastAsia" w:eastAsiaTheme="minorEastAsia"/>
                <w:color w:val="auto"/>
                <w:sz w:val="18"/>
                <w:szCs w:val="18"/>
              </w:rPr>
            </w:pPr>
            <w:r>
              <w:rPr>
                <w:rFonts w:hint="eastAsia" w:cs="仿宋" w:asciiTheme="minorEastAsia" w:hAnsiTheme="minorEastAsia" w:eastAsiaTheme="minorEastAsia"/>
                <w:color w:val="auto"/>
                <w:sz w:val="18"/>
                <w:szCs w:val="18"/>
                <w:lang w:val="en-US" w:eastAsia="zh-CN"/>
              </w:rPr>
              <w:t>课程分为设备原理和运维实务两部分：设备原理部分通过供配电系统、给排水系统、暖通空调系统、电梯设备等核心设施的工作原理和结构组成，帮助学生掌握物业设备的基础知识；运维实务部分通过设备日常巡检、预防性维护、故障诊断与应急处理等实操训练，培养学生设备管理实践能力。课程要求学生掌握主要设施设备的运行维护标准，具备编制设备保养计划、组织维修作业和能耗管理的专业能力</w:t>
            </w:r>
            <w:r>
              <w:rPr>
                <w:rFonts w:hint="eastAsia" w:cs="仿宋" w:asciiTheme="minorEastAsia" w:hAnsiTheme="minorEastAsia" w:eastAsiaTheme="minorEastAsia"/>
                <w:color w:val="auto"/>
                <w:sz w:val="18"/>
                <w:szCs w:val="18"/>
              </w:rPr>
              <w:t>。</w:t>
            </w:r>
          </w:p>
        </w:tc>
        <w:tc>
          <w:tcPr>
            <w:tcW w:w="625" w:type="dxa"/>
            <w:tcBorders>
              <w:right w:val="single" w:color="auto" w:sz="4" w:space="0"/>
              <w:tl2br w:val="nil"/>
              <w:tr2bl w:val="nil"/>
            </w:tcBorders>
            <w:vAlign w:val="center"/>
          </w:tcPr>
          <w:p w14:paraId="539343C4">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72</w:t>
            </w:r>
          </w:p>
        </w:tc>
      </w:tr>
      <w:tr w14:paraId="7300D17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350" w:hRule="atLeast"/>
          <w:jc w:val="center"/>
        </w:trPr>
        <w:tc>
          <w:tcPr>
            <w:tcW w:w="408" w:type="dxa"/>
            <w:tcBorders>
              <w:left w:val="single" w:color="auto" w:sz="4" w:space="0"/>
              <w:tl2br w:val="nil"/>
              <w:tr2bl w:val="nil"/>
            </w:tcBorders>
            <w:vAlign w:val="center"/>
          </w:tcPr>
          <w:p w14:paraId="4962514F">
            <w:pPr>
              <w:spacing w:after="0" w:line="320" w:lineRule="exact"/>
              <w:jc w:val="center"/>
              <w:rPr>
                <w:rFonts w:hint="eastAsia"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3</w:t>
            </w:r>
          </w:p>
        </w:tc>
        <w:tc>
          <w:tcPr>
            <w:tcW w:w="949" w:type="dxa"/>
            <w:tcBorders>
              <w:tl2br w:val="nil"/>
              <w:tr2bl w:val="nil"/>
            </w:tcBorders>
            <w:vAlign w:val="center"/>
          </w:tcPr>
          <w:p w14:paraId="0836706E">
            <w:pPr>
              <w:spacing w:after="0" w:line="320" w:lineRule="exact"/>
              <w:jc w:val="center"/>
              <w:rPr>
                <w:rFonts w:hint="eastAsia"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eastAsia="zh-CN"/>
              </w:rPr>
              <w:t>物业环境管理</w:t>
            </w:r>
          </w:p>
        </w:tc>
        <w:tc>
          <w:tcPr>
            <w:tcW w:w="7376" w:type="dxa"/>
            <w:tcBorders>
              <w:right w:val="single" w:color="auto" w:sz="4" w:space="0"/>
              <w:tl2br w:val="nil"/>
              <w:tr2bl w:val="nil"/>
            </w:tcBorders>
            <w:vAlign w:val="top"/>
          </w:tcPr>
          <w:p w14:paraId="2A451CB6">
            <w:pPr>
              <w:spacing w:after="0" w:line="320" w:lineRule="exact"/>
              <w:ind w:firstLine="360" w:firstLineChars="200"/>
              <w:jc w:val="both"/>
              <w:rPr>
                <w:rFonts w:hint="eastAsia"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课程分为环境管理理论和实务操作两部分：理论部分通过物业清洁标准、绿化养护要求、垃圾分类处理等内容，帮助学生掌握环境管理规范体系；实务操作部分通过清洁设备使用、绿化养护技术、环境消杀作业等实训，培养学生环境维护实践能力。课程要求学生掌握物业环境管理标准，具备制定清洁绿化计划、监督作业质量和处理环境投诉的专业能力。</w:t>
            </w:r>
          </w:p>
        </w:tc>
        <w:tc>
          <w:tcPr>
            <w:tcW w:w="625" w:type="dxa"/>
            <w:tcBorders>
              <w:right w:val="single" w:color="auto" w:sz="4" w:space="0"/>
              <w:tl2br w:val="nil"/>
              <w:tr2bl w:val="nil"/>
            </w:tcBorders>
            <w:vAlign w:val="center"/>
          </w:tcPr>
          <w:p w14:paraId="6ED81250">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72</w:t>
            </w:r>
          </w:p>
        </w:tc>
      </w:tr>
      <w:tr w14:paraId="1C3D828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322" w:hRule="atLeast"/>
          <w:jc w:val="center"/>
        </w:trPr>
        <w:tc>
          <w:tcPr>
            <w:tcW w:w="408" w:type="dxa"/>
            <w:tcBorders>
              <w:left w:val="single" w:color="auto" w:sz="4" w:space="0"/>
              <w:tl2br w:val="nil"/>
              <w:tr2bl w:val="nil"/>
            </w:tcBorders>
            <w:vAlign w:val="center"/>
          </w:tcPr>
          <w:p w14:paraId="7AD8A982">
            <w:pPr>
              <w:spacing w:after="0" w:line="320" w:lineRule="exact"/>
              <w:jc w:val="center"/>
              <w:rPr>
                <w:rFonts w:hint="eastAsia" w:cs="仿宋" w:asciiTheme="minorEastAsia" w:hAnsiTheme="minorEastAsia" w:eastAsiaTheme="minorEastAsia"/>
                <w:color w:val="auto"/>
                <w:sz w:val="18"/>
                <w:szCs w:val="18"/>
                <w:lang w:eastAsia="zh-CN"/>
              </w:rPr>
            </w:pPr>
            <w:r>
              <w:rPr>
                <w:rFonts w:hint="eastAsia" w:cs="仿宋" w:asciiTheme="minorEastAsia" w:hAnsiTheme="minorEastAsia" w:eastAsiaTheme="minorEastAsia"/>
                <w:color w:val="auto"/>
                <w:sz w:val="18"/>
                <w:szCs w:val="18"/>
                <w:lang w:val="en-US" w:eastAsia="zh-CN"/>
              </w:rPr>
              <w:t>4</w:t>
            </w:r>
          </w:p>
        </w:tc>
        <w:tc>
          <w:tcPr>
            <w:tcW w:w="949" w:type="dxa"/>
            <w:tcBorders>
              <w:tl2br w:val="nil"/>
              <w:tr2bl w:val="nil"/>
            </w:tcBorders>
            <w:vAlign w:val="center"/>
          </w:tcPr>
          <w:p w14:paraId="1AD805F5">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物业安全管理</w:t>
            </w:r>
          </w:p>
        </w:tc>
        <w:tc>
          <w:tcPr>
            <w:tcW w:w="7376" w:type="dxa"/>
            <w:tcBorders>
              <w:right w:val="single" w:color="auto" w:sz="4" w:space="0"/>
              <w:tl2br w:val="nil"/>
              <w:tr2bl w:val="nil"/>
            </w:tcBorders>
          </w:tcPr>
          <w:p w14:paraId="6811F14A">
            <w:pPr>
              <w:spacing w:after="0" w:line="320" w:lineRule="exact"/>
              <w:ind w:firstLine="360" w:firstLineChars="200"/>
              <w:rPr>
                <w:rFonts w:hint="default" w:cs="仿宋" w:asciiTheme="minorEastAsia" w:hAnsiTheme="minorEastAsia" w:eastAsiaTheme="minorEastAsia"/>
                <w:color w:val="auto"/>
                <w:sz w:val="18"/>
                <w:szCs w:val="18"/>
                <w:lang w:val="en-US"/>
              </w:rPr>
            </w:pPr>
            <w:r>
              <w:rPr>
                <w:rFonts w:hint="eastAsia" w:cs="仿宋" w:asciiTheme="minorEastAsia" w:hAnsiTheme="minorEastAsia" w:eastAsiaTheme="minorEastAsia"/>
                <w:color w:val="auto"/>
                <w:sz w:val="18"/>
                <w:szCs w:val="18"/>
              </w:rPr>
              <w:t>课程分为安全理论体系和实务操作规范两部分：理论部分通过物业安全法规标准、安防系统构成、消防安全管理等内容，帮助学生建立安全管理知识框架；实务操作部分通过监控系统操作、消防设施使用、应急预案演练等实训，培养学生安全防控实践能力。课程要求学生掌握人防、物防、技防三位一体管理方法，具备安全隐患排查、突发事件处置和安全管理体系建设的专业能力。</w:t>
            </w:r>
            <w:r>
              <w:rPr>
                <w:rFonts w:hint="eastAsia" w:cs="仿宋" w:asciiTheme="minorEastAsia" w:hAnsiTheme="minorEastAsia" w:eastAsiaTheme="minorEastAsia"/>
                <w:color w:val="auto"/>
                <w:sz w:val="18"/>
                <w:szCs w:val="18"/>
                <w:lang w:val="en-US" w:eastAsia="zh-CN"/>
              </w:rPr>
              <w:t xml:space="preserve"> </w:t>
            </w:r>
          </w:p>
        </w:tc>
        <w:tc>
          <w:tcPr>
            <w:tcW w:w="625" w:type="dxa"/>
            <w:tcBorders>
              <w:right w:val="single" w:color="auto" w:sz="4" w:space="0"/>
              <w:tl2br w:val="nil"/>
              <w:tr2bl w:val="nil"/>
            </w:tcBorders>
            <w:vAlign w:val="center"/>
          </w:tcPr>
          <w:p w14:paraId="656A5FB1">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72</w:t>
            </w:r>
          </w:p>
        </w:tc>
      </w:tr>
      <w:tr w14:paraId="0BF1F53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322" w:hRule="atLeast"/>
          <w:jc w:val="center"/>
        </w:trPr>
        <w:tc>
          <w:tcPr>
            <w:tcW w:w="408" w:type="dxa"/>
            <w:tcBorders>
              <w:left w:val="single" w:color="auto" w:sz="4" w:space="0"/>
              <w:tl2br w:val="nil"/>
              <w:tr2bl w:val="nil"/>
            </w:tcBorders>
            <w:vAlign w:val="center"/>
          </w:tcPr>
          <w:p w14:paraId="31748AD8">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5</w:t>
            </w:r>
          </w:p>
        </w:tc>
        <w:tc>
          <w:tcPr>
            <w:tcW w:w="949" w:type="dxa"/>
            <w:tcBorders>
              <w:tl2br w:val="nil"/>
              <w:tr2bl w:val="nil"/>
            </w:tcBorders>
            <w:vAlign w:val="center"/>
          </w:tcPr>
          <w:p w14:paraId="2DA8BDE5">
            <w:pPr>
              <w:spacing w:after="0" w:line="320" w:lineRule="exact"/>
              <w:jc w:val="center"/>
              <w:rPr>
                <w:rFonts w:hint="default" w:cs="仿宋" w:asciiTheme="minorEastAsia" w:hAnsiTheme="minorEastAsia" w:eastAsiaTheme="minorEastAsia"/>
                <w:color w:val="auto"/>
                <w:sz w:val="18"/>
                <w:szCs w:val="18"/>
                <w:lang w:val="en-US"/>
              </w:rPr>
            </w:pPr>
            <w:r>
              <w:rPr>
                <w:rFonts w:hint="eastAsia" w:cs="仿宋" w:asciiTheme="minorEastAsia" w:hAnsiTheme="minorEastAsia" w:eastAsiaTheme="minorEastAsia"/>
                <w:sz w:val="18"/>
                <w:szCs w:val="18"/>
                <w:lang w:val="en-US" w:eastAsia="zh-CN"/>
              </w:rPr>
              <w:t>房屋构造与维护</w:t>
            </w:r>
          </w:p>
        </w:tc>
        <w:tc>
          <w:tcPr>
            <w:tcW w:w="7376" w:type="dxa"/>
            <w:tcBorders>
              <w:right w:val="single" w:color="auto" w:sz="4" w:space="0"/>
              <w:tl2br w:val="nil"/>
              <w:tr2bl w:val="nil"/>
            </w:tcBorders>
            <w:vAlign w:val="top"/>
          </w:tcPr>
          <w:p w14:paraId="48201645">
            <w:pPr>
              <w:spacing w:after="0" w:line="320" w:lineRule="exact"/>
              <w:rPr>
                <w:rFonts w:cs="仿宋" w:asciiTheme="minorEastAsia" w:hAnsiTheme="minorEastAsia" w:eastAsiaTheme="minorEastAsia"/>
                <w:color w:val="auto"/>
                <w:sz w:val="18"/>
                <w:szCs w:val="18"/>
              </w:rPr>
            </w:pPr>
            <w:r>
              <w:rPr>
                <w:rFonts w:hint="eastAsia" w:cs="仿宋" w:asciiTheme="minorEastAsia" w:hAnsiTheme="minorEastAsia" w:eastAsiaTheme="minorEastAsia"/>
                <w:sz w:val="18"/>
                <w:szCs w:val="18"/>
                <w:lang w:val="en-US" w:eastAsia="zh-CN"/>
              </w:rPr>
              <w:t xml:space="preserve">    课程分为建筑构造和维修养护两部分：建筑构造部分通过建筑结构类型、材料特性、设备系统等内容，帮助学生掌握房屋基本构造原理；维修养护部分通过常见病害诊断、日常维护技术、小型修缮工艺等实操训练，培养学生房屋维护实践能力。课程要求学生掌握房屋构造基础知识，具备制定维护计划和指导施工的初步能力。</w:t>
            </w:r>
          </w:p>
        </w:tc>
        <w:tc>
          <w:tcPr>
            <w:tcW w:w="625" w:type="dxa"/>
            <w:tcBorders>
              <w:right w:val="single" w:color="auto" w:sz="4" w:space="0"/>
              <w:tl2br w:val="nil"/>
              <w:tr2bl w:val="nil"/>
            </w:tcBorders>
            <w:vAlign w:val="center"/>
          </w:tcPr>
          <w:p w14:paraId="6FC5304D">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sz w:val="18"/>
                <w:szCs w:val="18"/>
                <w:lang w:val="en-US" w:eastAsia="zh-CN"/>
              </w:rPr>
              <w:t>72</w:t>
            </w:r>
          </w:p>
        </w:tc>
      </w:tr>
      <w:tr w14:paraId="7C14FA1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8" w:type="dxa"/>
            <w:tcBorders>
              <w:left w:val="single" w:color="auto" w:sz="4" w:space="0"/>
              <w:tl2br w:val="nil"/>
              <w:tr2bl w:val="nil"/>
            </w:tcBorders>
            <w:vAlign w:val="center"/>
          </w:tcPr>
          <w:p w14:paraId="67511CD9">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6</w:t>
            </w:r>
          </w:p>
        </w:tc>
        <w:tc>
          <w:tcPr>
            <w:tcW w:w="949" w:type="dxa"/>
            <w:tcBorders>
              <w:tl2br w:val="nil"/>
              <w:tr2bl w:val="nil"/>
            </w:tcBorders>
            <w:vAlign w:val="center"/>
          </w:tcPr>
          <w:p w14:paraId="7B531308">
            <w:pPr>
              <w:spacing w:after="0" w:line="320" w:lineRule="exact"/>
              <w:jc w:val="center"/>
              <w:rPr>
                <w:rFonts w:hint="eastAsia" w:cs="仿宋" w:asciiTheme="minorEastAsia" w:hAnsiTheme="minorEastAsia" w:eastAsiaTheme="minorEastAsia"/>
                <w:color w:val="auto"/>
                <w:sz w:val="18"/>
                <w:szCs w:val="18"/>
                <w:lang w:eastAsia="zh-CN"/>
              </w:rPr>
            </w:pPr>
            <w:r>
              <w:rPr>
                <w:rFonts w:hint="eastAsia" w:cs="仿宋" w:asciiTheme="minorEastAsia" w:hAnsiTheme="minorEastAsia" w:eastAsiaTheme="minorEastAsia"/>
                <w:color w:val="auto"/>
                <w:sz w:val="18"/>
                <w:szCs w:val="18"/>
                <w:lang w:eastAsia="zh-CN"/>
              </w:rPr>
              <w:t>物业招投标与合同管理</w:t>
            </w:r>
          </w:p>
        </w:tc>
        <w:tc>
          <w:tcPr>
            <w:tcW w:w="7376" w:type="dxa"/>
            <w:tcBorders>
              <w:right w:val="single" w:color="auto" w:sz="4" w:space="0"/>
              <w:tl2br w:val="nil"/>
              <w:tr2bl w:val="nil"/>
            </w:tcBorders>
            <w:vAlign w:val="top"/>
          </w:tcPr>
          <w:p w14:paraId="7CE9E9F6">
            <w:pPr>
              <w:spacing w:after="0" w:line="320" w:lineRule="exact"/>
              <w:ind w:firstLine="360" w:firstLineChars="200"/>
              <w:rPr>
                <w:rFonts w:hint="eastAsia"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课程分为招投标流程和合同管理实务两部分：招投标流程部分通过政策法规解读、招标文件编制、投标策略制定等内容，帮助学生掌握规范的招投标操作程序；合同管理实务部分通过物业服务合同范本解析、条款风险防控、履约过程监管等案例教学，培养学生合同管理实践能力。课程要求学生掌握15项核心招投标法规要点，具备独立编制标书、评审合同和防范法律风险的专业能力。</w:t>
            </w:r>
          </w:p>
        </w:tc>
        <w:tc>
          <w:tcPr>
            <w:tcW w:w="625" w:type="dxa"/>
            <w:tcBorders>
              <w:right w:val="single" w:color="auto" w:sz="4" w:space="0"/>
              <w:tl2br w:val="nil"/>
              <w:tr2bl w:val="nil"/>
            </w:tcBorders>
            <w:vAlign w:val="center"/>
          </w:tcPr>
          <w:p w14:paraId="13DDB307">
            <w:pPr>
              <w:spacing w:after="0" w:line="320" w:lineRule="exact"/>
              <w:jc w:val="center"/>
              <w:rPr>
                <w:rFonts w:hint="default" w:cs="仿宋" w:asciiTheme="minorEastAsia" w:hAnsiTheme="minorEastAsia" w:eastAsiaTheme="minorEastAsia"/>
                <w:color w:val="auto"/>
                <w:sz w:val="18"/>
                <w:szCs w:val="18"/>
                <w:lang w:val="en-US" w:eastAsia="zh-CN"/>
              </w:rPr>
            </w:pPr>
            <w:r>
              <w:rPr>
                <w:rFonts w:hint="eastAsia" w:cs="仿宋" w:asciiTheme="minorEastAsia" w:hAnsiTheme="minorEastAsia" w:eastAsiaTheme="minorEastAsia"/>
                <w:color w:val="auto"/>
                <w:sz w:val="18"/>
                <w:szCs w:val="18"/>
                <w:lang w:val="en-US" w:eastAsia="zh-CN"/>
              </w:rPr>
              <w:t>72</w:t>
            </w:r>
          </w:p>
        </w:tc>
      </w:tr>
    </w:tbl>
    <w:p w14:paraId="70F4D4F8">
      <w:pPr>
        <w:overflowPunct w:val="0"/>
        <w:adjustRightInd w:val="0"/>
        <w:spacing w:after="0" w:line="440" w:lineRule="exact"/>
        <w:ind w:firstLine="480" w:firstLineChars="200"/>
        <w:rPr>
          <w:rFonts w:asciiTheme="minorEastAsia" w:hAnsiTheme="minorEastAsia" w:eastAsiaTheme="minorEastAsia"/>
          <w:b/>
          <w:bCs/>
          <w:sz w:val="24"/>
          <w:szCs w:val="24"/>
        </w:rPr>
      </w:pPr>
      <w:bookmarkStart w:id="199" w:name="_Toc27945"/>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3）</w:t>
      </w:r>
      <w:r>
        <w:rPr>
          <w:rFonts w:hint="eastAsia" w:asciiTheme="minorEastAsia" w:hAnsiTheme="minorEastAsia" w:eastAsiaTheme="minorEastAsia"/>
          <w:b/>
          <w:bCs/>
          <w:sz w:val="24"/>
          <w:szCs w:val="24"/>
        </w:rPr>
        <w:t>专业拓展课程</w:t>
      </w:r>
      <w:bookmarkEnd w:id="199"/>
    </w:p>
    <w:p w14:paraId="1E07F75A">
      <w:pPr>
        <w:pStyle w:val="25"/>
      </w:pPr>
      <w:bookmarkStart w:id="200" w:name="_Toc102927441"/>
      <w:bookmarkStart w:id="201" w:name="_Toc102927737"/>
      <w:r>
        <w:t>表</w:t>
      </w:r>
      <w:r>
        <w:rPr>
          <w:spacing w:val="-55"/>
        </w:rPr>
        <w:t xml:space="preserve"> </w:t>
      </w:r>
      <w:r>
        <w:t>7</w:t>
      </w:r>
      <w:r>
        <w:rPr>
          <w:rFonts w:hint="eastAsia"/>
        </w:rPr>
        <w:t>：高职专业拓展课</w:t>
      </w:r>
      <w:bookmarkEnd w:id="200"/>
      <w:bookmarkEnd w:id="201"/>
    </w:p>
    <w:tbl>
      <w:tblPr>
        <w:tblStyle w:val="14"/>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2"/>
        <w:gridCol w:w="1233"/>
        <w:gridCol w:w="7046"/>
        <w:gridCol w:w="598"/>
      </w:tblGrid>
      <w:tr w14:paraId="5D2A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217" w:type="pct"/>
            <w:tcBorders>
              <w:tl2br w:val="nil"/>
              <w:tr2bl w:val="nil"/>
            </w:tcBorders>
            <w:shd w:val="clear" w:color="auto" w:fill="D9E2F3" w:themeFill="accent5" w:themeFillTint="33"/>
            <w:vAlign w:val="center"/>
          </w:tcPr>
          <w:p w14:paraId="1BB2A814">
            <w:pPr>
              <w:spacing w:after="0" w:line="320" w:lineRule="exact"/>
              <w:jc w:val="center"/>
              <w:rPr>
                <w:b/>
                <w:bCs/>
                <w:sz w:val="18"/>
                <w:szCs w:val="18"/>
              </w:rPr>
            </w:pPr>
            <w:bookmarkStart w:id="202" w:name="_Toc29191"/>
            <w:bookmarkStart w:id="203" w:name="_Toc77884778"/>
            <w:bookmarkStart w:id="204" w:name="_Toc77884980"/>
            <w:bookmarkStart w:id="205" w:name="_Toc4496"/>
            <w:bookmarkStart w:id="206" w:name="_Toc77886512"/>
            <w:bookmarkStart w:id="207" w:name="_Toc19000"/>
            <w:r>
              <w:rPr>
                <w:rFonts w:hint="eastAsia"/>
                <w:b/>
                <w:bCs/>
                <w:sz w:val="18"/>
                <w:szCs w:val="18"/>
              </w:rPr>
              <w:t>序号</w:t>
            </w:r>
            <w:bookmarkEnd w:id="202"/>
            <w:bookmarkEnd w:id="203"/>
            <w:bookmarkEnd w:id="204"/>
            <w:bookmarkEnd w:id="205"/>
            <w:bookmarkEnd w:id="206"/>
            <w:bookmarkEnd w:id="207"/>
          </w:p>
        </w:tc>
        <w:tc>
          <w:tcPr>
            <w:tcW w:w="664" w:type="pct"/>
            <w:tcBorders>
              <w:tl2br w:val="nil"/>
              <w:tr2bl w:val="nil"/>
            </w:tcBorders>
            <w:shd w:val="clear" w:color="auto" w:fill="D9E2F3" w:themeFill="accent5" w:themeFillTint="33"/>
            <w:vAlign w:val="center"/>
          </w:tcPr>
          <w:p w14:paraId="5446804A">
            <w:pPr>
              <w:spacing w:after="0" w:line="320" w:lineRule="exact"/>
              <w:jc w:val="center"/>
              <w:rPr>
                <w:b/>
                <w:bCs/>
                <w:sz w:val="18"/>
                <w:szCs w:val="18"/>
              </w:rPr>
            </w:pPr>
            <w:bookmarkStart w:id="208" w:name="_Toc77886513"/>
            <w:bookmarkStart w:id="209" w:name="_Toc15130"/>
            <w:bookmarkStart w:id="210" w:name="_Toc9345"/>
            <w:bookmarkStart w:id="211" w:name="_Toc77884981"/>
            <w:bookmarkStart w:id="212" w:name="_Toc77884779"/>
            <w:bookmarkStart w:id="213" w:name="_Toc1381"/>
            <w:r>
              <w:rPr>
                <w:rFonts w:hint="eastAsia"/>
                <w:b/>
                <w:bCs/>
                <w:sz w:val="18"/>
                <w:szCs w:val="18"/>
              </w:rPr>
              <w:t>专业拓展</w:t>
            </w:r>
            <w:r>
              <w:rPr>
                <w:b/>
                <w:bCs/>
                <w:sz w:val="18"/>
                <w:szCs w:val="18"/>
              </w:rPr>
              <w:t>课程</w:t>
            </w:r>
            <w:bookmarkEnd w:id="208"/>
            <w:bookmarkEnd w:id="209"/>
            <w:bookmarkEnd w:id="210"/>
            <w:bookmarkEnd w:id="211"/>
            <w:bookmarkEnd w:id="212"/>
            <w:bookmarkEnd w:id="213"/>
          </w:p>
        </w:tc>
        <w:tc>
          <w:tcPr>
            <w:tcW w:w="3796" w:type="pct"/>
            <w:tcBorders>
              <w:tl2br w:val="nil"/>
              <w:tr2bl w:val="nil"/>
            </w:tcBorders>
            <w:shd w:val="clear" w:color="auto" w:fill="D9E2F3" w:themeFill="accent5" w:themeFillTint="33"/>
            <w:vAlign w:val="center"/>
          </w:tcPr>
          <w:p w14:paraId="19B6C704">
            <w:pPr>
              <w:spacing w:after="0" w:line="320" w:lineRule="exact"/>
              <w:jc w:val="center"/>
              <w:rPr>
                <w:b/>
                <w:bCs/>
                <w:sz w:val="18"/>
                <w:szCs w:val="18"/>
              </w:rPr>
            </w:pPr>
            <w:bookmarkStart w:id="214" w:name="_Toc18753"/>
            <w:bookmarkStart w:id="215" w:name="_Toc77886514"/>
            <w:bookmarkStart w:id="216" w:name="_Toc77884780"/>
            <w:bookmarkStart w:id="217" w:name="_Toc29935"/>
            <w:bookmarkStart w:id="218" w:name="_Toc19176"/>
            <w:bookmarkStart w:id="219" w:name="_Toc77884982"/>
            <w:r>
              <w:rPr>
                <w:rFonts w:hint="eastAsia"/>
                <w:b/>
                <w:bCs/>
                <w:sz w:val="18"/>
                <w:szCs w:val="18"/>
              </w:rPr>
              <w:t>主要教学内容与要求</w:t>
            </w:r>
            <w:bookmarkEnd w:id="214"/>
            <w:bookmarkEnd w:id="215"/>
            <w:bookmarkEnd w:id="216"/>
            <w:bookmarkEnd w:id="217"/>
            <w:bookmarkEnd w:id="218"/>
            <w:bookmarkEnd w:id="219"/>
          </w:p>
        </w:tc>
        <w:tc>
          <w:tcPr>
            <w:tcW w:w="322" w:type="pct"/>
            <w:tcBorders>
              <w:tl2br w:val="nil"/>
              <w:tr2bl w:val="nil"/>
            </w:tcBorders>
            <w:shd w:val="clear" w:color="auto" w:fill="D9E2F3" w:themeFill="accent5" w:themeFillTint="33"/>
            <w:vAlign w:val="center"/>
          </w:tcPr>
          <w:p w14:paraId="6D3192A8">
            <w:pPr>
              <w:spacing w:after="0" w:line="320" w:lineRule="exact"/>
              <w:jc w:val="center"/>
              <w:rPr>
                <w:b/>
                <w:bCs/>
                <w:sz w:val="18"/>
                <w:szCs w:val="18"/>
              </w:rPr>
            </w:pPr>
            <w:r>
              <w:rPr>
                <w:rFonts w:hint="eastAsia"/>
                <w:b/>
                <w:bCs/>
                <w:sz w:val="18"/>
                <w:szCs w:val="18"/>
              </w:rPr>
              <w:t>参考</w:t>
            </w:r>
          </w:p>
          <w:p w14:paraId="1BC70253">
            <w:pPr>
              <w:spacing w:after="0" w:line="320" w:lineRule="exact"/>
              <w:jc w:val="center"/>
              <w:rPr>
                <w:b/>
                <w:bCs/>
                <w:sz w:val="18"/>
                <w:szCs w:val="18"/>
              </w:rPr>
            </w:pPr>
            <w:r>
              <w:rPr>
                <w:rFonts w:hint="eastAsia"/>
                <w:b/>
                <w:bCs/>
                <w:sz w:val="18"/>
                <w:szCs w:val="18"/>
              </w:rPr>
              <w:t>学时</w:t>
            </w:r>
          </w:p>
        </w:tc>
      </w:tr>
      <w:tr w14:paraId="3B4BA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 w:type="pct"/>
            <w:tcBorders>
              <w:tl2br w:val="nil"/>
              <w:tr2bl w:val="nil"/>
            </w:tcBorders>
            <w:vAlign w:val="center"/>
          </w:tcPr>
          <w:p w14:paraId="2D73538D">
            <w:pPr>
              <w:spacing w:after="0" w:line="320" w:lineRule="exact"/>
              <w:jc w:val="center"/>
              <w:rPr>
                <w:rFonts w:cs="仿宋" w:asciiTheme="minorEastAsia" w:hAnsiTheme="minorEastAsia" w:eastAsiaTheme="minorEastAsia"/>
                <w:sz w:val="18"/>
                <w:szCs w:val="18"/>
              </w:rPr>
            </w:pPr>
            <w:bookmarkStart w:id="220" w:name="_Toc29703"/>
            <w:bookmarkStart w:id="221" w:name="_Toc77886515"/>
            <w:bookmarkStart w:id="222" w:name="_Toc77884781"/>
            <w:bookmarkStart w:id="223" w:name="_Toc77884983"/>
            <w:bookmarkStart w:id="224" w:name="_Toc11636"/>
            <w:bookmarkStart w:id="225" w:name="_Toc25570"/>
            <w:r>
              <w:rPr>
                <w:rFonts w:hint="eastAsia" w:cs="仿宋" w:asciiTheme="minorEastAsia" w:hAnsiTheme="minorEastAsia" w:eastAsiaTheme="minorEastAsia"/>
                <w:sz w:val="18"/>
                <w:szCs w:val="18"/>
              </w:rPr>
              <w:t>1</w:t>
            </w:r>
            <w:bookmarkEnd w:id="220"/>
            <w:bookmarkEnd w:id="221"/>
            <w:bookmarkEnd w:id="222"/>
            <w:bookmarkEnd w:id="223"/>
            <w:bookmarkEnd w:id="224"/>
            <w:bookmarkEnd w:id="225"/>
          </w:p>
        </w:tc>
        <w:tc>
          <w:tcPr>
            <w:tcW w:w="664" w:type="pct"/>
            <w:tcBorders>
              <w:tl2br w:val="nil"/>
              <w:tr2bl w:val="nil"/>
            </w:tcBorders>
            <w:vAlign w:val="center"/>
          </w:tcPr>
          <w:p w14:paraId="2EBBC1CD">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房地产投资分析</w:t>
            </w:r>
          </w:p>
        </w:tc>
        <w:tc>
          <w:tcPr>
            <w:tcW w:w="3796" w:type="pct"/>
            <w:tcBorders>
              <w:tl2br w:val="nil"/>
              <w:tr2bl w:val="nil"/>
            </w:tcBorders>
          </w:tcPr>
          <w:p w14:paraId="2655C557">
            <w:pPr>
              <w:spacing w:after="0" w:line="320" w:lineRule="exact"/>
              <w:ind w:firstLine="360" w:firstLineChars="200"/>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课程分为投资理论和分析实务两部分：投资理论部分通过市场供需规律、投资价值评估、风险收益特征等内容，帮助学生掌握房地产投资基本原理；分析实务部分通过现金流测算、财务指标分析、敏感性测试等量化工具应用，培养学生项目可行性研判能力。课程要求学生掌握NPV、IRR等6种核心评估方法，具备撰写投资分析报告和制定投资策略的专业能力。</w:t>
            </w:r>
          </w:p>
        </w:tc>
        <w:tc>
          <w:tcPr>
            <w:tcW w:w="322" w:type="pct"/>
            <w:tcBorders>
              <w:tl2br w:val="nil"/>
              <w:tr2bl w:val="nil"/>
            </w:tcBorders>
            <w:vAlign w:val="center"/>
          </w:tcPr>
          <w:p w14:paraId="3CDDC705">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r w14:paraId="15FB5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trPr>
        <w:tc>
          <w:tcPr>
            <w:tcW w:w="217" w:type="pct"/>
            <w:tcBorders>
              <w:tl2br w:val="nil"/>
              <w:tr2bl w:val="nil"/>
            </w:tcBorders>
            <w:vAlign w:val="center"/>
          </w:tcPr>
          <w:p w14:paraId="3C28712E">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2</w:t>
            </w:r>
          </w:p>
        </w:tc>
        <w:tc>
          <w:tcPr>
            <w:tcW w:w="664" w:type="pct"/>
            <w:tcBorders>
              <w:tl2br w:val="nil"/>
              <w:tr2bl w:val="nil"/>
            </w:tcBorders>
            <w:vAlign w:val="center"/>
          </w:tcPr>
          <w:p w14:paraId="7232E077">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房地产估价实务</w:t>
            </w:r>
          </w:p>
        </w:tc>
        <w:tc>
          <w:tcPr>
            <w:tcW w:w="3796" w:type="pct"/>
            <w:tcBorders>
              <w:tl2br w:val="nil"/>
              <w:tr2bl w:val="nil"/>
            </w:tcBorders>
          </w:tcPr>
          <w:p w14:paraId="53A7ED76">
            <w:pPr>
              <w:spacing w:after="0" w:line="320" w:lineRule="exact"/>
              <w:ind w:firstLine="360" w:firstLineChars="200"/>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课程分为估价理论和实务操作两部分：估价理论部分通过市场比较法、收益还原法、成本法等三大基本估价方法，帮助学生掌握房地产估价原理与技术路线；实务操作部分通过实地查勘、数据采集、参数修正、报告撰写等全流程实训，培养学生规范化的估价作业能力。课程要求学生掌握《房地产估价规范》GB/T 50291-2015的核心要求，具备独立完成住宅、商业等常规物业估价报告的专业技能。</w:t>
            </w:r>
          </w:p>
        </w:tc>
        <w:tc>
          <w:tcPr>
            <w:tcW w:w="322" w:type="pct"/>
            <w:tcBorders>
              <w:tl2br w:val="nil"/>
              <w:tr2bl w:val="nil"/>
            </w:tcBorders>
            <w:vAlign w:val="center"/>
          </w:tcPr>
          <w:p w14:paraId="4410F68C">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r w14:paraId="3CAFD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1A09EEBB">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lang w:val="en-US" w:eastAsia="zh-CN"/>
              </w:rPr>
              <w:t>3</w:t>
            </w:r>
          </w:p>
        </w:tc>
        <w:tc>
          <w:tcPr>
            <w:tcW w:w="664" w:type="pct"/>
            <w:tcBorders>
              <w:tl2br w:val="nil"/>
              <w:tr2bl w:val="nil"/>
            </w:tcBorders>
            <w:vAlign w:val="center"/>
          </w:tcPr>
          <w:p w14:paraId="73EF3276">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老旧小区改造实务</w:t>
            </w:r>
          </w:p>
        </w:tc>
        <w:tc>
          <w:tcPr>
            <w:tcW w:w="3796" w:type="pct"/>
            <w:tcBorders>
              <w:tl2br w:val="nil"/>
              <w:tr2bl w:val="nil"/>
            </w:tcBorders>
            <w:vAlign w:val="top"/>
          </w:tcPr>
          <w:p w14:paraId="68FE0193">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课程分为改造政策和实施技术两部分：改造政策部分通过解读城镇老旧小区改造指导意见、资金筹措政策、审批流程等内容，帮助学生掌握改造政策体系；实施技术部分通过建筑修缮、管线改造、适老化设计、加装电梯等专项技术实训，培养学生改造项目管理能力。课程要求学生掌握"基础类、完善类、提升类"三类改造标准，具备编制改造方案、协调居民意见和监管施工质量的专业能力。</w:t>
            </w:r>
          </w:p>
        </w:tc>
        <w:tc>
          <w:tcPr>
            <w:tcW w:w="322" w:type="pct"/>
            <w:tcBorders>
              <w:tl2br w:val="nil"/>
              <w:tr2bl w:val="nil"/>
            </w:tcBorders>
            <w:vAlign w:val="center"/>
          </w:tcPr>
          <w:p w14:paraId="237C0FF1">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r w14:paraId="4A643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402" w:type="dxa"/>
            <w:tcBorders>
              <w:tl2br w:val="nil"/>
              <w:tr2bl w:val="nil"/>
            </w:tcBorders>
            <w:vAlign w:val="center"/>
          </w:tcPr>
          <w:p w14:paraId="4AAEF50F">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4</w:t>
            </w:r>
          </w:p>
        </w:tc>
        <w:tc>
          <w:tcPr>
            <w:tcW w:w="1233" w:type="dxa"/>
            <w:tcBorders>
              <w:tl2br w:val="nil"/>
              <w:tr2bl w:val="nil"/>
            </w:tcBorders>
            <w:vAlign w:val="center"/>
          </w:tcPr>
          <w:p w14:paraId="3A648849">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color w:val="auto"/>
                <w:sz w:val="18"/>
                <w:szCs w:val="18"/>
                <w:lang w:eastAsia="zh-CN"/>
              </w:rPr>
              <w:t>社区数字化基础</w:t>
            </w:r>
          </w:p>
        </w:tc>
        <w:tc>
          <w:tcPr>
            <w:tcW w:w="7048" w:type="dxa"/>
            <w:tcBorders>
              <w:tl2br w:val="nil"/>
              <w:tr2bl w:val="nil"/>
            </w:tcBorders>
            <w:vAlign w:val="top"/>
          </w:tcPr>
          <w:p w14:paraId="6726E56C">
            <w:pPr>
              <w:spacing w:after="0" w:line="320" w:lineRule="exact"/>
              <w:ind w:firstLine="360" w:firstLineChars="200"/>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color w:val="auto"/>
                <w:sz w:val="18"/>
                <w:szCs w:val="18"/>
                <w:lang w:val="en-US" w:eastAsia="zh-CN"/>
              </w:rPr>
              <w:t>课程分为智慧社区理论和智能系统应用两部分：理论部分通过物联网架构、大数据平台、云计算技术等内容，帮助学生掌握智慧社区技术框架；应用部分通过智能安防操作、能源管理系统、物业服务平台等实训，培养学生数字化运维能力。课程要求学生掌握智慧社区关键技术原理，具备基础系统操作和数据分析能力。</w:t>
            </w:r>
            <w:r>
              <w:rPr>
                <w:rFonts w:hint="default" w:cs="仿宋" w:asciiTheme="minorEastAsia" w:hAnsiTheme="minorEastAsia" w:eastAsiaTheme="minorEastAsia"/>
                <w:color w:val="auto"/>
                <w:sz w:val="18"/>
                <w:szCs w:val="18"/>
                <w:lang w:val="en-US" w:eastAsia="zh-CN"/>
              </w:rPr>
              <w:t xml:space="preserve">  </w:t>
            </w:r>
          </w:p>
        </w:tc>
        <w:tc>
          <w:tcPr>
            <w:tcW w:w="322" w:type="pct"/>
            <w:tcBorders>
              <w:tl2br w:val="nil"/>
              <w:tr2bl w:val="nil"/>
            </w:tcBorders>
            <w:vAlign w:val="center"/>
          </w:tcPr>
          <w:p w14:paraId="481D2154">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r w14:paraId="6E274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2FB938B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5</w:t>
            </w:r>
          </w:p>
        </w:tc>
        <w:tc>
          <w:tcPr>
            <w:tcW w:w="664" w:type="pct"/>
            <w:tcBorders>
              <w:tl2br w:val="nil"/>
              <w:tr2bl w:val="nil"/>
            </w:tcBorders>
            <w:vAlign w:val="center"/>
          </w:tcPr>
          <w:p w14:paraId="123DEE5D">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房地产经纪实务</w:t>
            </w:r>
          </w:p>
        </w:tc>
        <w:tc>
          <w:tcPr>
            <w:tcW w:w="3796" w:type="pct"/>
            <w:tcBorders>
              <w:tl2br w:val="nil"/>
              <w:tr2bl w:val="nil"/>
            </w:tcBorders>
            <w:vAlign w:val="top"/>
          </w:tcPr>
          <w:p w14:paraId="066C8A49">
            <w:pPr>
              <w:spacing w:after="0" w:line="320" w:lineRule="exact"/>
              <w:ind w:firstLine="360" w:firstLineChars="200"/>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课程分为经纪理论和交易实务两部分：经纪理论部分通过行业法规、职业道德、业务流程等内容，帮助学生建立规范的经纪服务认知；交易实务部分通过房源开发、客户匹配、合同签订、权证办理等全流程实训，培养学生房产交易操作能力。课程要求学生掌握《房地产经纪管理办法》核心条款，具备独立完成住宅买卖租赁经纪业务的专业技能。</w:t>
            </w:r>
          </w:p>
        </w:tc>
        <w:tc>
          <w:tcPr>
            <w:tcW w:w="322" w:type="pct"/>
            <w:tcBorders>
              <w:tl2br w:val="nil"/>
              <w:tr2bl w:val="nil"/>
            </w:tcBorders>
            <w:vAlign w:val="center"/>
          </w:tcPr>
          <w:p w14:paraId="6B44275A">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r w14:paraId="136B7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17" w:type="pct"/>
            <w:tcBorders>
              <w:tl2br w:val="nil"/>
              <w:tr2bl w:val="nil"/>
            </w:tcBorders>
            <w:vAlign w:val="center"/>
          </w:tcPr>
          <w:p w14:paraId="54ADE938">
            <w:pPr>
              <w:spacing w:after="0" w:line="320" w:lineRule="exact"/>
              <w:jc w:val="center"/>
              <w:rPr>
                <w:rFonts w:hint="default" w:cs="仿宋" w:asciiTheme="minorEastAsia" w:hAnsiTheme="minorEastAsia" w:eastAsiaTheme="minorEastAsia"/>
                <w:sz w:val="18"/>
                <w:szCs w:val="18"/>
                <w:lang w:val="en-US" w:eastAsia="zh-CN"/>
              </w:rPr>
            </w:pPr>
            <w:bookmarkStart w:id="226" w:name="_Toc77884797"/>
            <w:bookmarkStart w:id="227" w:name="_Toc14091"/>
            <w:bookmarkStart w:id="228" w:name="_Toc20400"/>
            <w:bookmarkStart w:id="229" w:name="_Toc77884999"/>
            <w:bookmarkStart w:id="230" w:name="_Toc24133"/>
            <w:r>
              <w:rPr>
                <w:rFonts w:hint="eastAsia" w:cs="仿宋" w:asciiTheme="minorEastAsia" w:hAnsiTheme="minorEastAsia" w:eastAsiaTheme="minorEastAsia"/>
                <w:sz w:val="18"/>
                <w:szCs w:val="18"/>
                <w:lang w:val="en-US" w:eastAsia="zh-CN"/>
              </w:rPr>
              <w:t>6</w:t>
            </w:r>
          </w:p>
        </w:tc>
        <w:tc>
          <w:tcPr>
            <w:tcW w:w="664" w:type="pct"/>
            <w:tcBorders>
              <w:tl2br w:val="nil"/>
              <w:tr2bl w:val="nil"/>
            </w:tcBorders>
            <w:vAlign w:val="center"/>
          </w:tcPr>
          <w:p w14:paraId="4CC3132F">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社区经济与增值服务</w:t>
            </w:r>
          </w:p>
        </w:tc>
        <w:tc>
          <w:tcPr>
            <w:tcW w:w="3796" w:type="pct"/>
            <w:tcBorders>
              <w:tl2br w:val="nil"/>
              <w:tr2bl w:val="nil"/>
            </w:tcBorders>
            <w:vAlign w:val="top"/>
          </w:tcPr>
          <w:p w14:paraId="54210E17">
            <w:pPr>
              <w:spacing w:after="0" w:line="320" w:lineRule="exact"/>
              <w:ind w:firstLine="360" w:firstLineChars="200"/>
              <w:rPr>
                <w:rFonts w:hint="eastAsia"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课程分为商业模式和服务创新两部分：商业模式部分通过社区商业生态分析、资源整合方法、收益模型设计等内容，帮助学生掌握社区增值服务的商业逻辑；服务创新部分通过新零售、居家养老、共享空间等12类社区服务产品的开发实训，培养学生多元化经营能力。课程要求学生掌握"基础服务+增值收益"的盈利模式，具备策划实施社区便民服务、文化活动和资产运营项目的专业能力。。</w:t>
            </w:r>
          </w:p>
        </w:tc>
        <w:tc>
          <w:tcPr>
            <w:tcW w:w="322" w:type="pct"/>
            <w:tcBorders>
              <w:tl2br w:val="nil"/>
              <w:tr2bl w:val="nil"/>
            </w:tcBorders>
            <w:vAlign w:val="center"/>
          </w:tcPr>
          <w:p w14:paraId="37ED8088">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36</w:t>
            </w:r>
          </w:p>
        </w:tc>
      </w:tr>
    </w:tbl>
    <w:p w14:paraId="308026B6">
      <w:pPr>
        <w:pStyle w:val="3"/>
        <w:spacing w:before="156" w:beforeLines="50" w:after="156" w:afterLines="50"/>
        <w:ind w:firstLine="482"/>
        <w:outlineLvl w:val="2"/>
      </w:pPr>
      <w:r>
        <w:rPr>
          <w:rFonts w:hint="eastAsia"/>
          <w:lang w:val="en-US" w:eastAsia="zh-CN"/>
        </w:rPr>
        <w:t>3.</w:t>
      </w:r>
      <w:r>
        <w:rPr>
          <w:rFonts w:hint="eastAsia"/>
        </w:rPr>
        <w:t>素质拓展活动或项目</w:t>
      </w:r>
      <w:bookmarkEnd w:id="226"/>
      <w:bookmarkEnd w:id="227"/>
      <w:bookmarkEnd w:id="228"/>
      <w:bookmarkEnd w:id="229"/>
      <w:bookmarkEnd w:id="230"/>
    </w:p>
    <w:p w14:paraId="4FCFCC3F">
      <w:pPr>
        <w:pStyle w:val="25"/>
      </w:pPr>
      <w:bookmarkStart w:id="231" w:name="_Toc102927738"/>
      <w:bookmarkStart w:id="232" w:name="_Toc102927442"/>
      <w:r>
        <w:t>表</w:t>
      </w:r>
      <w:r>
        <w:rPr>
          <w:spacing w:val="-55"/>
        </w:rPr>
        <w:t xml:space="preserve"> </w:t>
      </w:r>
      <w:r>
        <w:t>8</w:t>
      </w:r>
      <w:r>
        <w:rPr>
          <w:rFonts w:hint="eastAsia"/>
        </w:rPr>
        <w:t>：素质拓展活动或项目</w:t>
      </w:r>
      <w:bookmarkEnd w:id="231"/>
      <w:bookmarkEnd w:id="232"/>
    </w:p>
    <w:tbl>
      <w:tblPr>
        <w:tblStyle w:val="14"/>
        <w:tblW w:w="92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994"/>
        <w:gridCol w:w="5490"/>
        <w:gridCol w:w="1081"/>
      </w:tblGrid>
      <w:tr w14:paraId="52E2A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shd w:val="clear" w:color="auto" w:fill="D9E2F3" w:themeFill="accent5" w:themeFillTint="33"/>
            <w:vAlign w:val="center"/>
          </w:tcPr>
          <w:p w14:paraId="37613045">
            <w:pPr>
              <w:spacing w:after="0" w:line="440" w:lineRule="exact"/>
              <w:jc w:val="center"/>
              <w:rPr>
                <w:b/>
                <w:bCs/>
                <w:sz w:val="18"/>
                <w:szCs w:val="18"/>
              </w:rPr>
            </w:pPr>
            <w:r>
              <w:rPr>
                <w:rFonts w:hint="eastAsia"/>
                <w:b/>
                <w:bCs/>
                <w:sz w:val="18"/>
                <w:szCs w:val="18"/>
              </w:rPr>
              <w:t>序号</w:t>
            </w:r>
          </w:p>
        </w:tc>
        <w:tc>
          <w:tcPr>
            <w:tcW w:w="1994" w:type="dxa"/>
            <w:tcBorders>
              <w:tl2br w:val="nil"/>
              <w:tr2bl w:val="nil"/>
            </w:tcBorders>
            <w:shd w:val="clear" w:color="auto" w:fill="D9E2F3" w:themeFill="accent5" w:themeFillTint="33"/>
            <w:vAlign w:val="center"/>
          </w:tcPr>
          <w:p w14:paraId="431391C1">
            <w:pPr>
              <w:spacing w:after="0" w:line="440" w:lineRule="exact"/>
              <w:jc w:val="center"/>
              <w:rPr>
                <w:b/>
                <w:bCs/>
                <w:sz w:val="18"/>
                <w:szCs w:val="18"/>
              </w:rPr>
            </w:pPr>
            <w:r>
              <w:rPr>
                <w:rFonts w:hint="eastAsia"/>
                <w:b/>
                <w:bCs/>
                <w:sz w:val="18"/>
                <w:szCs w:val="18"/>
              </w:rPr>
              <w:t>素质拓展活动或项目</w:t>
            </w:r>
          </w:p>
        </w:tc>
        <w:tc>
          <w:tcPr>
            <w:tcW w:w="5490" w:type="dxa"/>
            <w:tcBorders>
              <w:tl2br w:val="nil"/>
              <w:tr2bl w:val="nil"/>
            </w:tcBorders>
            <w:shd w:val="clear" w:color="auto" w:fill="D9E2F3" w:themeFill="accent5" w:themeFillTint="33"/>
            <w:vAlign w:val="center"/>
          </w:tcPr>
          <w:p w14:paraId="2C2C3205">
            <w:pPr>
              <w:spacing w:after="0" w:line="440" w:lineRule="exact"/>
              <w:jc w:val="center"/>
              <w:rPr>
                <w:b/>
                <w:bCs/>
                <w:sz w:val="18"/>
                <w:szCs w:val="18"/>
              </w:rPr>
            </w:pPr>
            <w:r>
              <w:rPr>
                <w:rFonts w:hint="eastAsia"/>
                <w:b/>
                <w:bCs/>
                <w:sz w:val="18"/>
                <w:szCs w:val="18"/>
              </w:rPr>
              <w:t>考核内容与方式</w:t>
            </w:r>
          </w:p>
        </w:tc>
        <w:tc>
          <w:tcPr>
            <w:tcW w:w="1081" w:type="dxa"/>
            <w:tcBorders>
              <w:tl2br w:val="nil"/>
              <w:tr2bl w:val="nil"/>
            </w:tcBorders>
            <w:shd w:val="clear" w:color="auto" w:fill="D9E2F3" w:themeFill="accent5" w:themeFillTint="33"/>
            <w:vAlign w:val="center"/>
          </w:tcPr>
          <w:p w14:paraId="633CE717">
            <w:pPr>
              <w:spacing w:after="0" w:line="440" w:lineRule="exact"/>
              <w:jc w:val="center"/>
              <w:rPr>
                <w:b/>
                <w:bCs/>
                <w:sz w:val="18"/>
                <w:szCs w:val="18"/>
              </w:rPr>
            </w:pPr>
            <w:r>
              <w:rPr>
                <w:rFonts w:hint="eastAsia"/>
                <w:b/>
                <w:bCs/>
                <w:sz w:val="18"/>
                <w:szCs w:val="18"/>
              </w:rPr>
              <w:t>素养目标</w:t>
            </w:r>
          </w:p>
        </w:tc>
      </w:tr>
      <w:tr w14:paraId="06DE7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2797506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994" w:type="dxa"/>
            <w:tcBorders>
              <w:tl2br w:val="nil"/>
              <w:tr2bl w:val="nil"/>
            </w:tcBorders>
            <w:vAlign w:val="center"/>
          </w:tcPr>
          <w:p w14:paraId="08DE04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特色晨读/晚读</w:t>
            </w:r>
          </w:p>
        </w:tc>
        <w:tc>
          <w:tcPr>
            <w:tcW w:w="5490" w:type="dxa"/>
            <w:tcBorders>
              <w:tl2br w:val="nil"/>
              <w:tr2bl w:val="nil"/>
            </w:tcBorders>
            <w:vAlign w:val="center"/>
          </w:tcPr>
          <w:p w14:paraId="0F8FA96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传统文化、国内外经典作品诵读，根据完成课时数，可申请文化素养学分。</w:t>
            </w:r>
          </w:p>
        </w:tc>
        <w:tc>
          <w:tcPr>
            <w:tcW w:w="1081" w:type="dxa"/>
            <w:tcBorders>
              <w:tl2br w:val="nil"/>
              <w:tr2bl w:val="nil"/>
            </w:tcBorders>
            <w:vAlign w:val="center"/>
          </w:tcPr>
          <w:p w14:paraId="76705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文化素养</w:t>
            </w:r>
          </w:p>
        </w:tc>
      </w:tr>
      <w:tr w14:paraId="4B92C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5AD4FB5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994" w:type="dxa"/>
            <w:tcBorders>
              <w:tl2br w:val="nil"/>
              <w:tr2bl w:val="nil"/>
            </w:tcBorders>
            <w:vAlign w:val="center"/>
          </w:tcPr>
          <w:p w14:paraId="23FB8C8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志愿者服务</w:t>
            </w:r>
          </w:p>
        </w:tc>
        <w:tc>
          <w:tcPr>
            <w:tcW w:w="5490" w:type="dxa"/>
            <w:tcBorders>
              <w:tl2br w:val="nil"/>
              <w:tr2bl w:val="nil"/>
            </w:tcBorders>
          </w:tcPr>
          <w:p w14:paraId="02F518D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累计时间达16个小时计1分，以此类推（出具主办方提供的证明），可申请劳动教育学分。</w:t>
            </w:r>
          </w:p>
        </w:tc>
        <w:tc>
          <w:tcPr>
            <w:tcW w:w="1081" w:type="dxa"/>
            <w:tcBorders>
              <w:tl2br w:val="nil"/>
              <w:tr2bl w:val="nil"/>
            </w:tcBorders>
            <w:vAlign w:val="center"/>
          </w:tcPr>
          <w:p w14:paraId="6634C0E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36D05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7FF638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994" w:type="dxa"/>
            <w:tcBorders>
              <w:tl2br w:val="nil"/>
              <w:tr2bl w:val="nil"/>
            </w:tcBorders>
            <w:vAlign w:val="center"/>
          </w:tcPr>
          <w:p w14:paraId="587672D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社团活动</w:t>
            </w:r>
          </w:p>
        </w:tc>
        <w:tc>
          <w:tcPr>
            <w:tcW w:w="5490" w:type="dxa"/>
            <w:tcBorders>
              <w:tl2br w:val="nil"/>
              <w:tr2bl w:val="nil"/>
            </w:tcBorders>
          </w:tcPr>
          <w:p w14:paraId="3674A6B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参加各级各类社团活动记录及指导教师评价成绩，可申请社团活动文化素养或美育艺术学分。</w:t>
            </w:r>
          </w:p>
        </w:tc>
        <w:tc>
          <w:tcPr>
            <w:tcW w:w="1081" w:type="dxa"/>
            <w:tcBorders>
              <w:tl2br w:val="nil"/>
              <w:tr2bl w:val="nil"/>
            </w:tcBorders>
            <w:vAlign w:val="center"/>
          </w:tcPr>
          <w:p w14:paraId="7445896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784C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70A7644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994" w:type="dxa"/>
            <w:tcBorders>
              <w:tl2br w:val="nil"/>
              <w:tr2bl w:val="nil"/>
            </w:tcBorders>
            <w:vAlign w:val="center"/>
          </w:tcPr>
          <w:p w14:paraId="58977A4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体育艺术活动与</w:t>
            </w:r>
          </w:p>
          <w:p w14:paraId="06EAE0E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竞赛</w:t>
            </w:r>
          </w:p>
        </w:tc>
        <w:tc>
          <w:tcPr>
            <w:tcW w:w="5490" w:type="dxa"/>
            <w:tcBorders>
              <w:tl2br w:val="nil"/>
              <w:tr2bl w:val="nil"/>
            </w:tcBorders>
          </w:tcPr>
          <w:p w14:paraId="101B00F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平时参加体育艺术活动的记录，参加院级以上体育、艺术比赛、展演活动训练记录及获奖可申请体育艺术拓展项目奖励学分。</w:t>
            </w:r>
          </w:p>
        </w:tc>
        <w:tc>
          <w:tcPr>
            <w:tcW w:w="1081" w:type="dxa"/>
            <w:tcBorders>
              <w:tl2br w:val="nil"/>
              <w:tr2bl w:val="nil"/>
            </w:tcBorders>
            <w:vAlign w:val="center"/>
          </w:tcPr>
          <w:p w14:paraId="329D50E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r w14:paraId="2E659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642A24E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994" w:type="dxa"/>
            <w:tcBorders>
              <w:tl2br w:val="nil"/>
              <w:tr2bl w:val="nil"/>
            </w:tcBorders>
            <w:vAlign w:val="center"/>
          </w:tcPr>
          <w:p w14:paraId="4210FEA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参加院校及各类比赛作业作品展示等活动</w:t>
            </w:r>
          </w:p>
        </w:tc>
        <w:tc>
          <w:tcPr>
            <w:tcW w:w="5490" w:type="dxa"/>
            <w:tcBorders>
              <w:tl2br w:val="nil"/>
              <w:tr2bl w:val="nil"/>
            </w:tcBorders>
            <w:vAlign w:val="center"/>
          </w:tcPr>
          <w:p w14:paraId="70F1C8D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提供参加各级各类比赛活动获奖证书，可申请职业素养拓展项目奖励学分。</w:t>
            </w:r>
          </w:p>
        </w:tc>
        <w:tc>
          <w:tcPr>
            <w:tcW w:w="1081" w:type="dxa"/>
            <w:tcBorders>
              <w:tl2br w:val="nil"/>
              <w:tr2bl w:val="nil"/>
            </w:tcBorders>
            <w:vAlign w:val="center"/>
          </w:tcPr>
          <w:p w14:paraId="3A9263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3F73A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8A2A42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994" w:type="dxa"/>
            <w:tcBorders>
              <w:tl2br w:val="nil"/>
              <w:tr2bl w:val="nil"/>
            </w:tcBorders>
            <w:vAlign w:val="center"/>
          </w:tcPr>
          <w:p w14:paraId="7768500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勤工俭学（校内）</w:t>
            </w:r>
          </w:p>
        </w:tc>
        <w:tc>
          <w:tcPr>
            <w:tcW w:w="5490" w:type="dxa"/>
            <w:tcBorders>
              <w:tl2br w:val="nil"/>
              <w:tr2bl w:val="nil"/>
            </w:tcBorders>
            <w:vAlign w:val="center"/>
          </w:tcPr>
          <w:p w14:paraId="0C4A1800">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提供学生处开具的勤工俭学证明，可申请劳动教育学分。</w:t>
            </w:r>
          </w:p>
        </w:tc>
        <w:tc>
          <w:tcPr>
            <w:tcW w:w="1081" w:type="dxa"/>
            <w:tcBorders>
              <w:tl2br w:val="nil"/>
              <w:tr2bl w:val="nil"/>
            </w:tcBorders>
            <w:vAlign w:val="center"/>
          </w:tcPr>
          <w:p w14:paraId="2634939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0BE4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799B40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994" w:type="dxa"/>
            <w:tcBorders>
              <w:tl2br w:val="nil"/>
              <w:tr2bl w:val="nil"/>
            </w:tcBorders>
            <w:vAlign w:val="center"/>
          </w:tcPr>
          <w:p w14:paraId="0AB0AC8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企业、市场、社会</w:t>
            </w:r>
          </w:p>
          <w:p w14:paraId="6BB17BE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调研</w:t>
            </w:r>
          </w:p>
        </w:tc>
        <w:tc>
          <w:tcPr>
            <w:tcW w:w="5490" w:type="dxa"/>
            <w:tcBorders>
              <w:tl2br w:val="nil"/>
              <w:tr2bl w:val="nil"/>
            </w:tcBorders>
          </w:tcPr>
          <w:p w14:paraId="50B53D45">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根据专业对接行业企业，统一组织或学生个人前往企业、市场、社会开展考察调研，并完成调研报告（2000字），可申请拓展项目学分。</w:t>
            </w:r>
          </w:p>
        </w:tc>
        <w:tc>
          <w:tcPr>
            <w:tcW w:w="1081" w:type="dxa"/>
            <w:tcBorders>
              <w:tl2br w:val="nil"/>
              <w:tr2bl w:val="nil"/>
            </w:tcBorders>
            <w:vAlign w:val="center"/>
          </w:tcPr>
          <w:p w14:paraId="32C3A8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1D5FB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4989A5A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994" w:type="dxa"/>
            <w:tcBorders>
              <w:tl2br w:val="nil"/>
              <w:tr2bl w:val="nil"/>
            </w:tcBorders>
            <w:vAlign w:val="center"/>
          </w:tcPr>
          <w:p w14:paraId="6338526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职业技能大赛</w:t>
            </w:r>
          </w:p>
        </w:tc>
        <w:tc>
          <w:tcPr>
            <w:tcW w:w="5490" w:type="dxa"/>
            <w:tcBorders>
              <w:tl2br w:val="nil"/>
              <w:tr2bl w:val="nil"/>
            </w:tcBorders>
          </w:tcPr>
          <w:p w14:paraId="6B4FEB37">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参加院级及以上职业技能大赛，获奖可申请技能大赛奖励学分。</w:t>
            </w:r>
          </w:p>
        </w:tc>
        <w:tc>
          <w:tcPr>
            <w:tcW w:w="1081" w:type="dxa"/>
            <w:tcBorders>
              <w:tl2br w:val="nil"/>
              <w:tr2bl w:val="nil"/>
            </w:tcBorders>
            <w:vAlign w:val="center"/>
          </w:tcPr>
          <w:p w14:paraId="0072222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6C39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5358F3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9</w:t>
            </w:r>
          </w:p>
        </w:tc>
        <w:tc>
          <w:tcPr>
            <w:tcW w:w="1994" w:type="dxa"/>
            <w:tcBorders>
              <w:tl2br w:val="nil"/>
              <w:tr2bl w:val="nil"/>
            </w:tcBorders>
            <w:vAlign w:val="center"/>
          </w:tcPr>
          <w:p w14:paraId="4A2C7D1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假期社会实践</w:t>
            </w:r>
          </w:p>
        </w:tc>
        <w:tc>
          <w:tcPr>
            <w:tcW w:w="5490" w:type="dxa"/>
            <w:tcBorders>
              <w:tl2br w:val="nil"/>
              <w:tr2bl w:val="nil"/>
            </w:tcBorders>
          </w:tcPr>
          <w:p w14:paraId="5922FA5B">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利用业余时间或假期参加社会实践活动，完成实践报告（2000字），获奖可申请劳动教育学分。</w:t>
            </w:r>
          </w:p>
        </w:tc>
        <w:tc>
          <w:tcPr>
            <w:tcW w:w="1081" w:type="dxa"/>
            <w:tcBorders>
              <w:tl2br w:val="nil"/>
              <w:tr2bl w:val="nil"/>
            </w:tcBorders>
            <w:vAlign w:val="center"/>
          </w:tcPr>
          <w:p w14:paraId="1B2C762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10B85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290E4F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10</w:t>
            </w:r>
          </w:p>
        </w:tc>
        <w:tc>
          <w:tcPr>
            <w:tcW w:w="1994" w:type="dxa"/>
            <w:tcBorders>
              <w:tl2br w:val="nil"/>
              <w:tr2bl w:val="nil"/>
            </w:tcBorders>
            <w:vAlign w:val="center"/>
          </w:tcPr>
          <w:p w14:paraId="3369FF48">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参加各类专题讲座、</w:t>
            </w:r>
          </w:p>
          <w:p w14:paraId="3B434D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研讨</w:t>
            </w:r>
          </w:p>
        </w:tc>
        <w:tc>
          <w:tcPr>
            <w:tcW w:w="5490" w:type="dxa"/>
            <w:tcBorders>
              <w:tl2br w:val="nil"/>
              <w:tr2bl w:val="nil"/>
            </w:tcBorders>
          </w:tcPr>
          <w:p w14:paraId="174B129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参加院校组织的心理健康、安全教育、社会责任、绿色环保、管理等人文素养、科学素养方面的专题讲座、专题研讨活动，提供每学期参加活动一览表及一份总结报告（2000字），可申请素质拓展项目学分。</w:t>
            </w:r>
          </w:p>
        </w:tc>
        <w:tc>
          <w:tcPr>
            <w:tcW w:w="1081" w:type="dxa"/>
            <w:tcBorders>
              <w:tl2br w:val="nil"/>
              <w:tr2bl w:val="nil"/>
            </w:tcBorders>
            <w:vAlign w:val="center"/>
          </w:tcPr>
          <w:p w14:paraId="18B2869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bl>
    <w:p w14:paraId="6A649543">
      <w:pPr>
        <w:pStyle w:val="3"/>
        <w:spacing w:before="156" w:beforeLines="50" w:after="156" w:afterLines="50"/>
        <w:ind w:firstLine="482"/>
        <w:outlineLvl w:val="2"/>
        <w:rPr>
          <w:rFonts w:hint="eastAsia"/>
          <w:lang w:val="en-US" w:eastAsia="zh-CN"/>
        </w:rPr>
      </w:pPr>
      <w:bookmarkStart w:id="233" w:name="_Toc77884798"/>
      <w:bookmarkStart w:id="234" w:name="_Toc77885000"/>
      <w:bookmarkStart w:id="235" w:name="_Toc6716"/>
      <w:bookmarkStart w:id="236" w:name="_Toc23634"/>
      <w:bookmarkStart w:id="237" w:name="_Toc23031"/>
      <w:r>
        <w:rPr>
          <w:rFonts w:hint="eastAsia"/>
          <w:lang w:val="en-US" w:eastAsia="zh-CN"/>
        </w:rPr>
        <w:t>4.专业实习实训项目</w:t>
      </w:r>
      <w:bookmarkEnd w:id="233"/>
      <w:bookmarkEnd w:id="234"/>
      <w:bookmarkEnd w:id="235"/>
      <w:bookmarkEnd w:id="236"/>
      <w:bookmarkEnd w:id="237"/>
    </w:p>
    <w:p w14:paraId="3C5B44F6">
      <w:pPr>
        <w:pStyle w:val="25"/>
      </w:pPr>
      <w:bookmarkStart w:id="238" w:name="_Toc102927443"/>
      <w:bookmarkStart w:id="239" w:name="_Toc102927739"/>
      <w:r>
        <w:t>表9</w:t>
      </w:r>
      <w:r>
        <w:rPr>
          <w:rFonts w:hint="eastAsia"/>
        </w:rPr>
        <w:t>：实习实训项目</w:t>
      </w:r>
      <w:bookmarkEnd w:id="238"/>
      <w:bookmarkEnd w:id="239"/>
    </w:p>
    <w:tbl>
      <w:tblPr>
        <w:tblStyle w:val="14"/>
        <w:tblpPr w:leftFromText="180" w:rightFromText="180" w:vertAnchor="text" w:horzAnchor="margin" w:tblpY="189"/>
        <w:tblOverlap w:val="never"/>
        <w:tblW w:w="927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10"/>
        <w:gridCol w:w="5970"/>
        <w:gridCol w:w="1215"/>
      </w:tblGrid>
      <w:tr w14:paraId="167DEE8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683" w:type="dxa"/>
            <w:tcBorders>
              <w:top w:val="single" w:color="auto" w:sz="4" w:space="0"/>
              <w:left w:val="single" w:color="auto" w:sz="4" w:space="0"/>
              <w:tl2br w:val="nil"/>
              <w:tr2bl w:val="nil"/>
            </w:tcBorders>
            <w:shd w:val="clear" w:color="auto" w:fill="D9E2F3" w:themeFill="accent5" w:themeFillTint="33"/>
            <w:vAlign w:val="center"/>
          </w:tcPr>
          <w:p w14:paraId="0BBFCA86">
            <w:pPr>
              <w:spacing w:after="0" w:line="320" w:lineRule="exact"/>
              <w:jc w:val="center"/>
              <w:rPr>
                <w:b/>
                <w:bCs/>
                <w:sz w:val="18"/>
                <w:szCs w:val="18"/>
              </w:rPr>
            </w:pPr>
            <w:r>
              <w:rPr>
                <w:rFonts w:hint="eastAsia"/>
                <w:b/>
                <w:bCs/>
                <w:sz w:val="18"/>
                <w:szCs w:val="18"/>
              </w:rPr>
              <w:t>序号</w:t>
            </w:r>
          </w:p>
        </w:tc>
        <w:tc>
          <w:tcPr>
            <w:tcW w:w="1410" w:type="dxa"/>
            <w:tcBorders>
              <w:top w:val="single" w:color="auto" w:sz="4" w:space="0"/>
              <w:tl2br w:val="nil"/>
              <w:tr2bl w:val="nil"/>
            </w:tcBorders>
            <w:shd w:val="clear" w:color="auto" w:fill="D9E2F3" w:themeFill="accent5" w:themeFillTint="33"/>
            <w:vAlign w:val="center"/>
          </w:tcPr>
          <w:p w14:paraId="7CF48F9E">
            <w:pPr>
              <w:spacing w:after="0" w:line="320" w:lineRule="exact"/>
              <w:jc w:val="center"/>
              <w:rPr>
                <w:b/>
                <w:bCs/>
                <w:sz w:val="18"/>
                <w:szCs w:val="18"/>
              </w:rPr>
            </w:pPr>
            <w:r>
              <w:rPr>
                <w:rFonts w:hint="eastAsia"/>
                <w:b/>
                <w:bCs/>
                <w:sz w:val="18"/>
                <w:szCs w:val="18"/>
              </w:rPr>
              <w:t>专业实习实训项目</w:t>
            </w:r>
          </w:p>
        </w:tc>
        <w:tc>
          <w:tcPr>
            <w:tcW w:w="5970" w:type="dxa"/>
            <w:tcBorders>
              <w:top w:val="single" w:color="auto" w:sz="4" w:space="0"/>
              <w:tl2br w:val="nil"/>
              <w:tr2bl w:val="nil"/>
            </w:tcBorders>
            <w:shd w:val="clear" w:color="auto" w:fill="D9E2F3" w:themeFill="accent5" w:themeFillTint="33"/>
            <w:vAlign w:val="center"/>
          </w:tcPr>
          <w:p w14:paraId="3B9F7B6C">
            <w:pPr>
              <w:spacing w:after="0" w:line="320" w:lineRule="exact"/>
              <w:jc w:val="center"/>
              <w:rPr>
                <w:b/>
                <w:bCs/>
                <w:sz w:val="18"/>
                <w:szCs w:val="18"/>
              </w:rPr>
            </w:pPr>
            <w:r>
              <w:rPr>
                <w:rFonts w:hint="eastAsia"/>
                <w:b/>
                <w:bCs/>
                <w:sz w:val="18"/>
                <w:szCs w:val="18"/>
              </w:rPr>
              <w:t>考核内容与方式</w:t>
            </w:r>
          </w:p>
        </w:tc>
        <w:tc>
          <w:tcPr>
            <w:tcW w:w="1215" w:type="dxa"/>
            <w:tcBorders>
              <w:top w:val="single" w:color="auto" w:sz="4" w:space="0"/>
              <w:right w:val="single" w:color="auto" w:sz="4" w:space="0"/>
              <w:tl2br w:val="nil"/>
              <w:tr2bl w:val="nil"/>
            </w:tcBorders>
            <w:shd w:val="clear" w:color="auto" w:fill="D9E2F3" w:themeFill="accent5" w:themeFillTint="33"/>
            <w:vAlign w:val="center"/>
          </w:tcPr>
          <w:p w14:paraId="79861EDD">
            <w:pPr>
              <w:spacing w:after="0" w:line="320" w:lineRule="exact"/>
              <w:jc w:val="center"/>
              <w:rPr>
                <w:b/>
                <w:bCs/>
                <w:sz w:val="18"/>
                <w:szCs w:val="18"/>
              </w:rPr>
            </w:pPr>
            <w:r>
              <w:rPr>
                <w:rFonts w:hint="eastAsia"/>
                <w:b/>
                <w:bCs/>
                <w:sz w:val="18"/>
                <w:szCs w:val="18"/>
              </w:rPr>
              <w:t>类别模块</w:t>
            </w:r>
          </w:p>
        </w:tc>
      </w:tr>
      <w:tr w14:paraId="7AEDF7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73D030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10" w:type="dxa"/>
            <w:tcBorders>
              <w:tl2br w:val="nil"/>
              <w:tr2bl w:val="nil"/>
            </w:tcBorders>
            <w:vAlign w:val="center"/>
          </w:tcPr>
          <w:p w14:paraId="21FF7E6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企业认知实习</w:t>
            </w:r>
          </w:p>
        </w:tc>
        <w:tc>
          <w:tcPr>
            <w:tcW w:w="5970" w:type="dxa"/>
            <w:tcBorders>
              <w:tl2br w:val="nil"/>
              <w:tr2bl w:val="nil"/>
            </w:tcBorders>
            <w:vAlign w:val="center"/>
          </w:tcPr>
          <w:p w14:paraId="1B69355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w:t>
            </w:r>
            <w:r>
              <w:rPr>
                <w:rFonts w:hint="eastAsia" w:cs="仿宋" w:asciiTheme="minorEastAsia" w:hAnsiTheme="minorEastAsia" w:eastAsiaTheme="minorEastAsia"/>
                <w:sz w:val="18"/>
                <w:szCs w:val="18"/>
                <w:lang w:eastAsia="zh-CN"/>
              </w:rPr>
              <w:t>物业服务</w:t>
            </w:r>
            <w:r>
              <w:rPr>
                <w:rFonts w:hint="eastAsia" w:cs="仿宋" w:asciiTheme="minorEastAsia" w:hAnsiTheme="minorEastAsia" w:eastAsiaTheme="minorEastAsia"/>
                <w:sz w:val="18"/>
                <w:szCs w:val="18"/>
              </w:rPr>
              <w:t>企业参观、见习、认知实习，提交认知实习报告（2000字）</w:t>
            </w:r>
          </w:p>
        </w:tc>
        <w:tc>
          <w:tcPr>
            <w:tcW w:w="1215" w:type="dxa"/>
            <w:tcBorders>
              <w:right w:val="single" w:color="auto" w:sz="4" w:space="0"/>
              <w:tl2br w:val="nil"/>
              <w:tr2bl w:val="nil"/>
            </w:tcBorders>
            <w:vAlign w:val="center"/>
          </w:tcPr>
          <w:p w14:paraId="40CE4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职业素质</w:t>
            </w:r>
          </w:p>
        </w:tc>
      </w:tr>
      <w:tr w14:paraId="5FBFAC3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0DE6118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410" w:type="dxa"/>
            <w:tcBorders>
              <w:tl2br w:val="nil"/>
              <w:tr2bl w:val="nil"/>
            </w:tcBorders>
            <w:vAlign w:val="center"/>
          </w:tcPr>
          <w:p w14:paraId="4BE60CE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校内专项实训</w:t>
            </w:r>
          </w:p>
        </w:tc>
        <w:tc>
          <w:tcPr>
            <w:tcW w:w="5970" w:type="dxa"/>
            <w:tcBorders>
              <w:tl2br w:val="nil"/>
              <w:tr2bl w:val="nil"/>
            </w:tcBorders>
            <w:vAlign w:val="center"/>
          </w:tcPr>
          <w:p w14:paraId="1B05507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w:t>
            </w:r>
            <w:r>
              <w:rPr>
                <w:rFonts w:hint="eastAsia" w:cs="仿宋" w:asciiTheme="minorEastAsia" w:hAnsiTheme="minorEastAsia" w:eastAsiaTheme="minorEastAsia"/>
                <w:sz w:val="18"/>
                <w:szCs w:val="18"/>
                <w:lang w:eastAsia="zh-CN"/>
              </w:rPr>
              <w:t>物业服务</w:t>
            </w:r>
            <w:r>
              <w:rPr>
                <w:rFonts w:hint="eastAsia" w:cs="仿宋" w:asciiTheme="minorEastAsia" w:hAnsiTheme="minorEastAsia" w:eastAsiaTheme="minorEastAsia"/>
                <w:sz w:val="18"/>
                <w:szCs w:val="18"/>
              </w:rPr>
              <w:t>专业课程安排，完成校内实训项目训练，通过实训项目评比、实训作品评比考核，将本专业课程教学与校内专项技能实训、竞赛相结合，综合评价学生专业课程成绩。</w:t>
            </w:r>
          </w:p>
        </w:tc>
        <w:tc>
          <w:tcPr>
            <w:tcW w:w="1215" w:type="dxa"/>
            <w:tcBorders>
              <w:right w:val="single" w:color="auto" w:sz="4" w:space="0"/>
              <w:tl2br w:val="nil"/>
              <w:tr2bl w:val="nil"/>
            </w:tcBorders>
            <w:vAlign w:val="center"/>
          </w:tcPr>
          <w:p w14:paraId="0CA986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23EAA65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3EA51A3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10" w:type="dxa"/>
            <w:tcBorders>
              <w:tl2br w:val="nil"/>
              <w:tr2bl w:val="nil"/>
            </w:tcBorders>
            <w:vAlign w:val="center"/>
          </w:tcPr>
          <w:p w14:paraId="160278E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企业工学交替</w:t>
            </w:r>
          </w:p>
          <w:p w14:paraId="15F5E21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实训</w:t>
            </w:r>
          </w:p>
        </w:tc>
        <w:tc>
          <w:tcPr>
            <w:tcW w:w="5970" w:type="dxa"/>
            <w:tcBorders>
              <w:tl2br w:val="nil"/>
              <w:tr2bl w:val="nil"/>
            </w:tcBorders>
            <w:vAlign w:val="center"/>
          </w:tcPr>
          <w:p w14:paraId="1DAB898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根据教学安排，根据学生赴企业开展阶段性工学交替实训，填写工学交替实训手册，由企业师傅、指导教师、学生共同评出实训成绩，核算相应学分。</w:t>
            </w:r>
          </w:p>
        </w:tc>
        <w:tc>
          <w:tcPr>
            <w:tcW w:w="1215" w:type="dxa"/>
            <w:tcBorders>
              <w:right w:val="single" w:color="auto" w:sz="4" w:space="0"/>
              <w:tl2br w:val="nil"/>
              <w:tr2bl w:val="nil"/>
            </w:tcBorders>
            <w:vAlign w:val="center"/>
          </w:tcPr>
          <w:p w14:paraId="0231281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1ED976A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E74AFC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410" w:type="dxa"/>
            <w:tcBorders>
              <w:tl2br w:val="nil"/>
              <w:tr2bl w:val="nil"/>
            </w:tcBorders>
            <w:vAlign w:val="center"/>
          </w:tcPr>
          <w:p w14:paraId="74E2382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岗位实习</w:t>
            </w:r>
          </w:p>
        </w:tc>
        <w:tc>
          <w:tcPr>
            <w:tcW w:w="5970" w:type="dxa"/>
            <w:tcBorders>
              <w:tl2br w:val="nil"/>
              <w:tr2bl w:val="nil"/>
            </w:tcBorders>
            <w:vAlign w:val="center"/>
          </w:tcPr>
          <w:p w14:paraId="1E8A114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根据教学安排，学生赴企业开展6个月的岗位实习，填写岗位实习手册，撰写岗位实习总结，由企业师傅、指导教师、学生共同评出岗位实习成绩，核算相应学分。</w:t>
            </w:r>
          </w:p>
        </w:tc>
        <w:tc>
          <w:tcPr>
            <w:tcW w:w="1215" w:type="dxa"/>
            <w:tcBorders>
              <w:right w:val="single" w:color="auto" w:sz="4" w:space="0"/>
              <w:tl2br w:val="nil"/>
              <w:tr2bl w:val="nil"/>
            </w:tcBorders>
            <w:vAlign w:val="center"/>
          </w:tcPr>
          <w:p w14:paraId="0FCE60B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61FDC77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bottom w:val="single" w:color="auto" w:sz="4" w:space="0"/>
              <w:tl2br w:val="nil"/>
              <w:tr2bl w:val="nil"/>
            </w:tcBorders>
            <w:vAlign w:val="center"/>
          </w:tcPr>
          <w:p w14:paraId="3A0D3F7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10" w:type="dxa"/>
            <w:tcBorders>
              <w:bottom w:val="single" w:color="auto" w:sz="4" w:space="0"/>
              <w:tl2br w:val="nil"/>
              <w:tr2bl w:val="nil"/>
            </w:tcBorders>
            <w:vAlign w:val="center"/>
          </w:tcPr>
          <w:p w14:paraId="491CE8D6">
            <w:pPr>
              <w:spacing w:after="0" w:line="320" w:lineRule="exact"/>
              <w:jc w:val="center"/>
              <w:rPr>
                <w:rFonts w:hint="eastAsia" w:cs="仿宋" w:asciiTheme="minorEastAsia" w:hAnsiTheme="minorEastAsia" w:eastAsiaTheme="minorEastAsia"/>
                <w:sz w:val="18"/>
                <w:szCs w:val="18"/>
                <w:lang w:eastAsia="zh-CN"/>
              </w:rPr>
            </w:pPr>
            <w:r>
              <w:rPr>
                <w:rFonts w:hint="eastAsia" w:cs="仿宋" w:asciiTheme="minorEastAsia" w:hAnsiTheme="minorEastAsia" w:eastAsiaTheme="minorEastAsia"/>
                <w:sz w:val="18"/>
                <w:szCs w:val="18"/>
              </w:rPr>
              <w:t>毕业</w:t>
            </w:r>
            <w:r>
              <w:rPr>
                <w:rFonts w:hint="eastAsia" w:cs="仿宋" w:asciiTheme="minorEastAsia" w:hAnsiTheme="minorEastAsia" w:eastAsiaTheme="minorEastAsia"/>
                <w:sz w:val="18"/>
                <w:szCs w:val="18"/>
                <w:lang w:eastAsia="zh-CN"/>
              </w:rPr>
              <w:t>论文</w:t>
            </w:r>
          </w:p>
        </w:tc>
        <w:tc>
          <w:tcPr>
            <w:tcW w:w="5970" w:type="dxa"/>
            <w:tcBorders>
              <w:bottom w:val="single" w:color="auto" w:sz="4" w:space="0"/>
              <w:tl2br w:val="nil"/>
              <w:tr2bl w:val="nil"/>
            </w:tcBorders>
            <w:vAlign w:val="center"/>
          </w:tcPr>
          <w:p w14:paraId="2F91B2B3">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根据专业特色，在教师指导下进行选题，完成开题报告、毕业设计，通过答辩，获得相应成绩和学分。</w:t>
            </w:r>
          </w:p>
        </w:tc>
        <w:tc>
          <w:tcPr>
            <w:tcW w:w="1215" w:type="dxa"/>
            <w:tcBorders>
              <w:bottom w:val="single" w:color="auto" w:sz="4" w:space="0"/>
              <w:right w:val="single" w:color="auto" w:sz="4" w:space="0"/>
              <w:tl2br w:val="nil"/>
              <w:tr2bl w:val="nil"/>
            </w:tcBorders>
            <w:vAlign w:val="center"/>
          </w:tcPr>
          <w:p w14:paraId="794F5D9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bl>
    <w:p w14:paraId="2DF93142">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本专业实践教学学时安排占总学时数50%以上。通过实施“校内基地基本技能实训”“校外企业见习、实践进行职业能力训练”“企业工学交替、岗位实习就业能力训练”的“三训结合实训教学模式”，根据专业教学需要有针对性地组织学生赴企业进行认知实习、工学交替跟岗实习、岗位实习等，强化以育人为目标的实习实训考核评价。认真落实学生岗位实习6个月的规定。通过校企深度合作，完善校内实训基地建设，虚拟仿真实训教学环境建设，加强校外产教融合型实训基地建设等。通过有效实施公共基础课、专业课、拓展活动、专业实训等，统筹校内、校外教育教学资源，广泛开展各类社会实践活动。推进文化育人、实践育人、活动育人，构建全员育人、全程育人、全方位育人的“三全育人”机制。 </w:t>
      </w:r>
    </w:p>
    <w:p w14:paraId="0C4FB2D4">
      <w:pPr>
        <w:pStyle w:val="2"/>
        <w:snapToGrid w:val="0"/>
        <w:spacing w:before="156" w:beforeLines="50" w:after="156" w:afterLines="50" w:line="440" w:lineRule="exact"/>
        <w:ind w:left="584"/>
        <w:jc w:val="both"/>
        <w:rPr>
          <w:rFonts w:hint="eastAsia"/>
        </w:rPr>
      </w:pPr>
      <w:bookmarkStart w:id="240" w:name="_Toc77885001"/>
      <w:bookmarkStart w:id="241" w:name="_Toc4127"/>
      <w:bookmarkStart w:id="242" w:name="_Toc31764"/>
      <w:bookmarkStart w:id="243" w:name="_Toc77884799"/>
      <w:bookmarkStart w:id="244" w:name="_Toc17395"/>
      <w:r>
        <w:rPr>
          <w:rFonts w:hint="eastAsia"/>
          <w:b/>
          <w:bCs/>
          <w:sz w:val="28"/>
          <w:szCs w:val="28"/>
          <w:lang w:val="en-US" w:eastAsia="zh-CN"/>
        </w:rPr>
        <w:t>六</w:t>
      </w:r>
      <w:r>
        <w:rPr>
          <w:rFonts w:hint="eastAsia"/>
          <w:b/>
          <w:bCs/>
          <w:sz w:val="28"/>
          <w:szCs w:val="28"/>
        </w:rPr>
        <w:t>、</w:t>
      </w:r>
      <w:r>
        <w:rPr>
          <w:b/>
          <w:bCs/>
          <w:sz w:val="28"/>
          <w:szCs w:val="28"/>
        </w:rPr>
        <w:t>教学进程总体安排</w:t>
      </w:r>
      <w:bookmarkEnd w:id="240"/>
      <w:bookmarkEnd w:id="241"/>
      <w:bookmarkEnd w:id="242"/>
      <w:bookmarkEnd w:id="243"/>
      <w:bookmarkEnd w:id="244"/>
      <w:bookmarkStart w:id="245" w:name="_Toc19749"/>
      <w:bookmarkStart w:id="246" w:name="_Toc77884800"/>
      <w:bookmarkStart w:id="247" w:name="_Toc77885002"/>
      <w:bookmarkStart w:id="248" w:name="_Toc28941"/>
      <w:bookmarkStart w:id="249" w:name="_Toc14511"/>
    </w:p>
    <w:p w14:paraId="3FD91F4D">
      <w:pPr>
        <w:pStyle w:val="3"/>
        <w:spacing w:before="156" w:beforeLines="50" w:after="156" w:afterLines="50"/>
        <w:ind w:firstLine="482"/>
      </w:pPr>
      <w:r>
        <w:rPr>
          <w:rFonts w:hint="eastAsia"/>
        </w:rPr>
        <w:t>（一）全学程教学历程</w:t>
      </w:r>
      <w:bookmarkEnd w:id="245"/>
      <w:bookmarkEnd w:id="246"/>
      <w:bookmarkEnd w:id="247"/>
      <w:bookmarkEnd w:id="248"/>
      <w:bookmarkEnd w:id="249"/>
    </w:p>
    <w:p w14:paraId="4ED0F2A5">
      <w:pPr>
        <w:pStyle w:val="25"/>
        <w:rPr>
          <w:lang w:val="zh-CN" w:bidi="zh-CN"/>
        </w:rPr>
      </w:pPr>
      <w:r>
        <w:rPr>
          <w:rFonts w:hint="eastAsia"/>
          <w:lang w:val="zh-CN" w:bidi="zh-CN"/>
        </w:rPr>
        <w:t>表1</w:t>
      </w:r>
      <w:r>
        <w:rPr>
          <w:lang w:val="zh-CN" w:bidi="zh-CN"/>
        </w:rPr>
        <w:t>0</w:t>
      </w:r>
      <w:r>
        <w:rPr>
          <w:rFonts w:hint="eastAsia"/>
          <w:lang w:val="zh-CN" w:bidi="zh-CN"/>
        </w:rPr>
        <w:t>：现代物业服务专业全学程教学历程表</w:t>
      </w:r>
    </w:p>
    <w:tbl>
      <w:tblPr>
        <w:tblStyle w:val="14"/>
        <w:tblW w:w="935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5"/>
        <w:gridCol w:w="445"/>
        <w:gridCol w:w="445"/>
        <w:gridCol w:w="446"/>
        <w:gridCol w:w="445"/>
        <w:gridCol w:w="445"/>
        <w:gridCol w:w="446"/>
        <w:gridCol w:w="445"/>
        <w:gridCol w:w="445"/>
        <w:gridCol w:w="445"/>
        <w:gridCol w:w="446"/>
        <w:gridCol w:w="445"/>
        <w:gridCol w:w="445"/>
        <w:gridCol w:w="446"/>
        <w:gridCol w:w="445"/>
        <w:gridCol w:w="445"/>
        <w:gridCol w:w="445"/>
        <w:gridCol w:w="446"/>
        <w:gridCol w:w="445"/>
        <w:gridCol w:w="445"/>
        <w:gridCol w:w="446"/>
      </w:tblGrid>
      <w:tr w14:paraId="299B36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37DBEEFA">
            <w:pPr>
              <w:snapToGrid w:val="0"/>
              <w:spacing w:line="200" w:lineRule="exact"/>
              <w:jc w:val="both"/>
              <w:rPr>
                <w:rFonts w:ascii="宋体"/>
                <w:sz w:val="10"/>
                <w:szCs w:val="10"/>
              </w:rPr>
            </w:pPr>
            <w:bookmarkStart w:id="250" w:name="_Toc30123"/>
            <w:bookmarkStart w:id="251" w:name="_Toc77885003"/>
            <w:bookmarkStart w:id="252" w:name="_Toc77884801"/>
            <w:bookmarkStart w:id="253" w:name="_Toc31986"/>
            <w:r>
              <w:rPr>
                <w:rFonts w:hint="eastAsia" w:ascii="宋体" w:hAnsi="宋体"/>
                <w:sz w:val="16"/>
                <w:szCs w:val="16"/>
              </w:rPr>
              <w:t>周次</w:t>
            </w:r>
          </w:p>
        </w:tc>
        <w:tc>
          <w:tcPr>
            <w:tcW w:w="445" w:type="dxa"/>
            <w:tcBorders>
              <w:top w:val="single" w:color="auto" w:sz="4" w:space="0"/>
              <w:left w:val="single" w:color="auto" w:sz="4" w:space="0"/>
              <w:bottom w:val="single" w:color="auto" w:sz="4" w:space="0"/>
              <w:right w:val="single" w:color="auto" w:sz="4" w:space="0"/>
            </w:tcBorders>
            <w:vAlign w:val="center"/>
          </w:tcPr>
          <w:p w14:paraId="28B917F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w:t>
            </w:r>
          </w:p>
        </w:tc>
        <w:tc>
          <w:tcPr>
            <w:tcW w:w="445" w:type="dxa"/>
            <w:tcBorders>
              <w:top w:val="single" w:color="auto" w:sz="4" w:space="0"/>
              <w:left w:val="single" w:color="auto" w:sz="4" w:space="0"/>
              <w:bottom w:val="single" w:color="auto" w:sz="4" w:space="0"/>
              <w:right w:val="single" w:color="auto" w:sz="4" w:space="0"/>
            </w:tcBorders>
            <w:vAlign w:val="center"/>
          </w:tcPr>
          <w:p w14:paraId="1A2448C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w:t>
            </w:r>
          </w:p>
        </w:tc>
        <w:tc>
          <w:tcPr>
            <w:tcW w:w="446" w:type="dxa"/>
            <w:tcBorders>
              <w:top w:val="single" w:color="auto" w:sz="4" w:space="0"/>
              <w:left w:val="single" w:color="auto" w:sz="4" w:space="0"/>
              <w:bottom w:val="single" w:color="auto" w:sz="4" w:space="0"/>
              <w:right w:val="single" w:color="auto" w:sz="4" w:space="0"/>
            </w:tcBorders>
            <w:vAlign w:val="center"/>
          </w:tcPr>
          <w:p w14:paraId="47DCC14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3</w:t>
            </w:r>
          </w:p>
        </w:tc>
        <w:tc>
          <w:tcPr>
            <w:tcW w:w="445" w:type="dxa"/>
            <w:tcBorders>
              <w:top w:val="single" w:color="auto" w:sz="4" w:space="0"/>
              <w:left w:val="single" w:color="auto" w:sz="4" w:space="0"/>
              <w:bottom w:val="single" w:color="auto" w:sz="4" w:space="0"/>
              <w:right w:val="single" w:color="auto" w:sz="4" w:space="0"/>
            </w:tcBorders>
            <w:vAlign w:val="center"/>
          </w:tcPr>
          <w:p w14:paraId="5363CD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4</w:t>
            </w:r>
          </w:p>
        </w:tc>
        <w:tc>
          <w:tcPr>
            <w:tcW w:w="445" w:type="dxa"/>
            <w:tcBorders>
              <w:top w:val="single" w:color="auto" w:sz="4" w:space="0"/>
              <w:left w:val="single" w:color="auto" w:sz="4" w:space="0"/>
              <w:bottom w:val="single" w:color="auto" w:sz="4" w:space="0"/>
              <w:right w:val="single" w:color="auto" w:sz="4" w:space="0"/>
            </w:tcBorders>
            <w:vAlign w:val="center"/>
          </w:tcPr>
          <w:p w14:paraId="2BB46FB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5</w:t>
            </w:r>
          </w:p>
        </w:tc>
        <w:tc>
          <w:tcPr>
            <w:tcW w:w="446" w:type="dxa"/>
            <w:tcBorders>
              <w:top w:val="single" w:color="auto" w:sz="4" w:space="0"/>
              <w:left w:val="single" w:color="auto" w:sz="4" w:space="0"/>
              <w:bottom w:val="single" w:color="auto" w:sz="4" w:space="0"/>
              <w:right w:val="single" w:color="auto" w:sz="4" w:space="0"/>
            </w:tcBorders>
            <w:vAlign w:val="center"/>
          </w:tcPr>
          <w:p w14:paraId="0FC7FAA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6</w:t>
            </w:r>
          </w:p>
        </w:tc>
        <w:tc>
          <w:tcPr>
            <w:tcW w:w="445" w:type="dxa"/>
            <w:tcBorders>
              <w:top w:val="single" w:color="auto" w:sz="4" w:space="0"/>
              <w:left w:val="single" w:color="auto" w:sz="4" w:space="0"/>
              <w:bottom w:val="single" w:color="auto" w:sz="4" w:space="0"/>
              <w:right w:val="single" w:color="auto" w:sz="4" w:space="0"/>
            </w:tcBorders>
            <w:vAlign w:val="center"/>
          </w:tcPr>
          <w:p w14:paraId="6E06A35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7</w:t>
            </w:r>
          </w:p>
        </w:tc>
        <w:tc>
          <w:tcPr>
            <w:tcW w:w="445" w:type="dxa"/>
            <w:tcBorders>
              <w:top w:val="single" w:color="auto" w:sz="4" w:space="0"/>
              <w:left w:val="single" w:color="auto" w:sz="4" w:space="0"/>
              <w:bottom w:val="single" w:color="auto" w:sz="4" w:space="0"/>
              <w:right w:val="single" w:color="auto" w:sz="4" w:space="0"/>
            </w:tcBorders>
            <w:vAlign w:val="center"/>
          </w:tcPr>
          <w:p w14:paraId="5FF2AFB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8</w:t>
            </w:r>
          </w:p>
        </w:tc>
        <w:tc>
          <w:tcPr>
            <w:tcW w:w="445" w:type="dxa"/>
            <w:tcBorders>
              <w:top w:val="single" w:color="auto" w:sz="4" w:space="0"/>
              <w:left w:val="single" w:color="auto" w:sz="4" w:space="0"/>
              <w:bottom w:val="single" w:color="auto" w:sz="4" w:space="0"/>
              <w:right w:val="single" w:color="auto" w:sz="4" w:space="0"/>
            </w:tcBorders>
            <w:vAlign w:val="center"/>
          </w:tcPr>
          <w:p w14:paraId="54811E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9</w:t>
            </w:r>
          </w:p>
        </w:tc>
        <w:tc>
          <w:tcPr>
            <w:tcW w:w="446" w:type="dxa"/>
            <w:tcBorders>
              <w:top w:val="single" w:color="auto" w:sz="4" w:space="0"/>
              <w:left w:val="single" w:color="auto" w:sz="4" w:space="0"/>
              <w:bottom w:val="single" w:color="auto" w:sz="4" w:space="0"/>
              <w:right w:val="single" w:color="auto" w:sz="4" w:space="0"/>
            </w:tcBorders>
            <w:vAlign w:val="center"/>
          </w:tcPr>
          <w:p w14:paraId="26F43C5D">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10</w:t>
            </w:r>
          </w:p>
        </w:tc>
        <w:tc>
          <w:tcPr>
            <w:tcW w:w="445" w:type="dxa"/>
            <w:tcBorders>
              <w:top w:val="single" w:color="auto" w:sz="4" w:space="0"/>
              <w:left w:val="single" w:color="auto" w:sz="4" w:space="0"/>
              <w:bottom w:val="single" w:color="auto" w:sz="4" w:space="0"/>
              <w:right w:val="single" w:color="auto" w:sz="4" w:space="0"/>
            </w:tcBorders>
            <w:vAlign w:val="center"/>
          </w:tcPr>
          <w:p w14:paraId="5370EA6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11</w:t>
            </w:r>
          </w:p>
        </w:tc>
        <w:tc>
          <w:tcPr>
            <w:tcW w:w="445" w:type="dxa"/>
            <w:tcBorders>
              <w:top w:val="single" w:color="auto" w:sz="4" w:space="0"/>
              <w:left w:val="single" w:color="auto" w:sz="4" w:space="0"/>
              <w:bottom w:val="single" w:color="auto" w:sz="4" w:space="0"/>
              <w:right w:val="single" w:color="auto" w:sz="4" w:space="0"/>
            </w:tcBorders>
            <w:vAlign w:val="center"/>
          </w:tcPr>
          <w:p w14:paraId="08D207C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12</w:t>
            </w:r>
          </w:p>
        </w:tc>
        <w:tc>
          <w:tcPr>
            <w:tcW w:w="446" w:type="dxa"/>
            <w:tcBorders>
              <w:top w:val="single" w:color="auto" w:sz="4" w:space="0"/>
              <w:left w:val="single" w:color="auto" w:sz="4" w:space="0"/>
              <w:bottom w:val="single" w:color="auto" w:sz="4" w:space="0"/>
              <w:right w:val="single" w:color="auto" w:sz="4" w:space="0"/>
            </w:tcBorders>
            <w:vAlign w:val="center"/>
          </w:tcPr>
          <w:p w14:paraId="2C28FB3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13</w:t>
            </w:r>
          </w:p>
        </w:tc>
        <w:tc>
          <w:tcPr>
            <w:tcW w:w="445" w:type="dxa"/>
            <w:tcBorders>
              <w:top w:val="single" w:color="auto" w:sz="4" w:space="0"/>
              <w:left w:val="single" w:color="auto" w:sz="4" w:space="0"/>
              <w:bottom w:val="single" w:color="auto" w:sz="4" w:space="0"/>
              <w:right w:val="single" w:color="auto" w:sz="4" w:space="0"/>
            </w:tcBorders>
            <w:vAlign w:val="center"/>
          </w:tcPr>
          <w:p w14:paraId="6CBF448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14</w:t>
            </w:r>
          </w:p>
        </w:tc>
        <w:tc>
          <w:tcPr>
            <w:tcW w:w="445" w:type="dxa"/>
            <w:tcBorders>
              <w:top w:val="single" w:color="auto" w:sz="4" w:space="0"/>
              <w:left w:val="single" w:color="auto" w:sz="4" w:space="0"/>
              <w:bottom w:val="single" w:color="auto" w:sz="4" w:space="0"/>
              <w:right w:val="single" w:color="auto" w:sz="4" w:space="0"/>
            </w:tcBorders>
            <w:vAlign w:val="center"/>
          </w:tcPr>
          <w:p w14:paraId="259568F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15</w:t>
            </w:r>
          </w:p>
        </w:tc>
        <w:tc>
          <w:tcPr>
            <w:tcW w:w="445" w:type="dxa"/>
            <w:tcBorders>
              <w:top w:val="single" w:color="auto" w:sz="4" w:space="0"/>
              <w:left w:val="single" w:color="auto" w:sz="4" w:space="0"/>
              <w:bottom w:val="single" w:color="auto" w:sz="4" w:space="0"/>
              <w:right w:val="single" w:color="auto" w:sz="4" w:space="0"/>
            </w:tcBorders>
            <w:vAlign w:val="center"/>
          </w:tcPr>
          <w:p w14:paraId="19CAE05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16</w:t>
            </w:r>
          </w:p>
        </w:tc>
        <w:tc>
          <w:tcPr>
            <w:tcW w:w="446" w:type="dxa"/>
            <w:tcBorders>
              <w:top w:val="single" w:color="auto" w:sz="4" w:space="0"/>
              <w:left w:val="single" w:color="auto" w:sz="4" w:space="0"/>
              <w:bottom w:val="single" w:color="auto" w:sz="4" w:space="0"/>
              <w:right w:val="single" w:color="auto" w:sz="4" w:space="0"/>
            </w:tcBorders>
            <w:vAlign w:val="center"/>
          </w:tcPr>
          <w:p w14:paraId="46EF40C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17</w:t>
            </w:r>
          </w:p>
        </w:tc>
        <w:tc>
          <w:tcPr>
            <w:tcW w:w="445" w:type="dxa"/>
            <w:tcBorders>
              <w:top w:val="single" w:color="auto" w:sz="4" w:space="0"/>
              <w:left w:val="single" w:color="auto" w:sz="4" w:space="0"/>
              <w:bottom w:val="single" w:color="auto" w:sz="4" w:space="0"/>
              <w:right w:val="single" w:color="auto" w:sz="4" w:space="0"/>
            </w:tcBorders>
            <w:vAlign w:val="center"/>
          </w:tcPr>
          <w:p w14:paraId="5D03E97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18</w:t>
            </w:r>
          </w:p>
        </w:tc>
        <w:tc>
          <w:tcPr>
            <w:tcW w:w="445" w:type="dxa"/>
            <w:tcBorders>
              <w:top w:val="single" w:color="auto" w:sz="4" w:space="0"/>
              <w:left w:val="single" w:color="auto" w:sz="4" w:space="0"/>
              <w:bottom w:val="single" w:color="auto" w:sz="4" w:space="0"/>
              <w:right w:val="single" w:color="auto" w:sz="4" w:space="0"/>
            </w:tcBorders>
            <w:vAlign w:val="center"/>
          </w:tcPr>
          <w:p w14:paraId="3E14E48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19</w:t>
            </w:r>
          </w:p>
        </w:tc>
        <w:tc>
          <w:tcPr>
            <w:tcW w:w="446" w:type="dxa"/>
            <w:tcBorders>
              <w:top w:val="single" w:color="auto" w:sz="4" w:space="0"/>
              <w:left w:val="single" w:color="auto" w:sz="4" w:space="0"/>
              <w:bottom w:val="single" w:color="auto" w:sz="4" w:space="0"/>
              <w:right w:val="single" w:color="auto" w:sz="4" w:space="0"/>
            </w:tcBorders>
            <w:vAlign w:val="center"/>
          </w:tcPr>
          <w:p w14:paraId="65FAAC3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20</w:t>
            </w:r>
          </w:p>
        </w:tc>
      </w:tr>
      <w:tr w14:paraId="62A0E9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5D19113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一</w:t>
            </w:r>
          </w:p>
        </w:tc>
        <w:tc>
          <w:tcPr>
            <w:tcW w:w="445" w:type="dxa"/>
            <w:tcBorders>
              <w:top w:val="single" w:color="auto" w:sz="4" w:space="0"/>
              <w:left w:val="single" w:color="auto" w:sz="4" w:space="0"/>
              <w:bottom w:val="single" w:color="auto" w:sz="4" w:space="0"/>
              <w:right w:val="single" w:color="auto" w:sz="4" w:space="0"/>
            </w:tcBorders>
          </w:tcPr>
          <w:p w14:paraId="78E26F7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A</w:t>
            </w:r>
          </w:p>
        </w:tc>
        <w:tc>
          <w:tcPr>
            <w:tcW w:w="445" w:type="dxa"/>
            <w:tcBorders>
              <w:top w:val="single" w:color="auto" w:sz="4" w:space="0"/>
              <w:left w:val="single" w:color="auto" w:sz="4" w:space="0"/>
              <w:bottom w:val="single" w:color="auto" w:sz="4" w:space="0"/>
              <w:right w:val="single" w:color="auto" w:sz="4" w:space="0"/>
            </w:tcBorders>
          </w:tcPr>
          <w:p w14:paraId="4EF7170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bCs/>
                <w:sz w:val="18"/>
                <w:szCs w:val="18"/>
              </w:rPr>
            </w:pPr>
            <w:r>
              <w:rPr>
                <w:rFonts w:hint="eastAsia" w:ascii="宋体" w:hAnsi="宋体"/>
                <w:bCs/>
                <w:sz w:val="18"/>
                <w:szCs w:val="18"/>
              </w:rPr>
              <w:t>A</w:t>
            </w:r>
          </w:p>
        </w:tc>
        <w:tc>
          <w:tcPr>
            <w:tcW w:w="446" w:type="dxa"/>
            <w:tcBorders>
              <w:top w:val="single" w:color="auto" w:sz="4" w:space="0"/>
              <w:left w:val="single" w:color="auto" w:sz="4" w:space="0"/>
              <w:bottom w:val="single" w:color="auto" w:sz="4" w:space="0"/>
              <w:right w:val="single" w:color="auto" w:sz="4" w:space="0"/>
            </w:tcBorders>
          </w:tcPr>
          <w:p w14:paraId="7329BCFA">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1D9CFC52">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77FA44D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724E9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22754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B090F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8A9CE8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771D82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D1A9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FF097A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2A2AC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F8C810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E1A8A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A42A89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0F17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E6443A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9F4DDF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151014F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1F9025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8805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二</w:t>
            </w:r>
          </w:p>
        </w:tc>
        <w:tc>
          <w:tcPr>
            <w:tcW w:w="445" w:type="dxa"/>
            <w:tcBorders>
              <w:top w:val="single" w:color="auto" w:sz="4" w:space="0"/>
              <w:left w:val="single" w:color="auto" w:sz="4" w:space="0"/>
              <w:bottom w:val="single" w:color="auto" w:sz="4" w:space="0"/>
              <w:right w:val="single" w:color="auto" w:sz="4" w:space="0"/>
            </w:tcBorders>
          </w:tcPr>
          <w:p w14:paraId="3BF7F149">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C2497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308DED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EC99C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4D7650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A1C7C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D9DF0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9D5C27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13B6B8">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CE904F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C9EFD8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6B2E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B48345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85815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970DD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7DA074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0F7222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B248625">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E270B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5A71DB0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531E0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413B964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三</w:t>
            </w:r>
          </w:p>
        </w:tc>
        <w:tc>
          <w:tcPr>
            <w:tcW w:w="445" w:type="dxa"/>
            <w:tcBorders>
              <w:top w:val="single" w:color="auto" w:sz="4" w:space="0"/>
              <w:left w:val="single" w:color="auto" w:sz="4" w:space="0"/>
              <w:bottom w:val="single" w:color="auto" w:sz="4" w:space="0"/>
              <w:right w:val="single" w:color="auto" w:sz="4" w:space="0"/>
            </w:tcBorders>
          </w:tcPr>
          <w:p w14:paraId="796B4541">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228F4E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436CFD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A9A5E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3983F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63210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9F1738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6C48ED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74CD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1511B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BB272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F52BF4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E333A6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6CFB8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3121D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33DA363">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2978BF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276E4D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19F9F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77BA322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76327C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02FCB8A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四</w:t>
            </w:r>
          </w:p>
        </w:tc>
        <w:tc>
          <w:tcPr>
            <w:tcW w:w="445" w:type="dxa"/>
            <w:tcBorders>
              <w:top w:val="single" w:color="auto" w:sz="4" w:space="0"/>
              <w:left w:val="single" w:color="auto" w:sz="4" w:space="0"/>
              <w:bottom w:val="single" w:color="auto" w:sz="4" w:space="0"/>
              <w:right w:val="single" w:color="auto" w:sz="4" w:space="0"/>
            </w:tcBorders>
          </w:tcPr>
          <w:p w14:paraId="394A3EC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4ABC1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9208F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338FE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3C2D0B">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25DB3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9FABE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1CBDC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ADCE0C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CA3EB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C8E88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357C5E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F94A67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C1A072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E69E4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87EEC6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0FC35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C09D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vAlign w:val="center"/>
          </w:tcPr>
          <w:p w14:paraId="7BF5C32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3C9AF99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62AE03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69E9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五</w:t>
            </w:r>
          </w:p>
        </w:tc>
        <w:tc>
          <w:tcPr>
            <w:tcW w:w="445" w:type="dxa"/>
            <w:tcBorders>
              <w:top w:val="single" w:color="auto" w:sz="4" w:space="0"/>
              <w:left w:val="single" w:color="auto" w:sz="4" w:space="0"/>
              <w:bottom w:val="single" w:color="auto" w:sz="4" w:space="0"/>
              <w:right w:val="single" w:color="auto" w:sz="4" w:space="0"/>
            </w:tcBorders>
          </w:tcPr>
          <w:p w14:paraId="5DF366B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F06E401">
            <w:pPr>
              <w:keepNext w:val="0"/>
              <w:keepLines w:val="0"/>
              <w:pageBreakBefore w:val="0"/>
              <w:widowControl/>
              <w:kinsoku/>
              <w:wordWrap/>
              <w:overflowPunct/>
              <w:topLinePunct w:val="0"/>
              <w:autoSpaceDE/>
              <w:autoSpaceDN/>
              <w:bidi w:val="0"/>
              <w:adjustRightInd/>
              <w:snapToGrid w:val="0"/>
              <w:spacing w:after="0" w:line="300" w:lineRule="exact"/>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E4BF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0220FD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0B22E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870EF0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81565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B7C2FC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5013A1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2671B5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263DC34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33AB2C3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56E223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61E4CB7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30E176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769DD3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3B0854E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128956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7868D34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01ACD03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r>
      <w:tr w14:paraId="3520E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7AEE5DC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六</w:t>
            </w:r>
          </w:p>
        </w:tc>
        <w:tc>
          <w:tcPr>
            <w:tcW w:w="445" w:type="dxa"/>
            <w:tcBorders>
              <w:top w:val="single" w:color="auto" w:sz="4" w:space="0"/>
              <w:left w:val="single" w:color="auto" w:sz="4" w:space="0"/>
              <w:bottom w:val="single" w:color="auto" w:sz="4" w:space="0"/>
              <w:right w:val="single" w:color="auto" w:sz="4" w:space="0"/>
            </w:tcBorders>
          </w:tcPr>
          <w:p w14:paraId="274D013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B6EDAE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39C3FB5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F552BB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FE4F42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6C25AE9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E72C5E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E52565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21E9AE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1EFC4EB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CFC2A0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07B39A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5694268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94F46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3CDB64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73D378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7CAE41D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E6BF4D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3B7F89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2881AEB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r>
      <w:tr w14:paraId="0D3A69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0" w:hRule="atLeast"/>
          <w:jc w:val="center"/>
        </w:trPr>
        <w:tc>
          <w:tcPr>
            <w:tcW w:w="9351" w:type="dxa"/>
            <w:gridSpan w:val="21"/>
            <w:tcBorders>
              <w:top w:val="single" w:color="auto" w:sz="4" w:space="0"/>
              <w:left w:val="single" w:color="auto" w:sz="4" w:space="0"/>
              <w:bottom w:val="single" w:color="auto" w:sz="4" w:space="0"/>
              <w:right w:val="single" w:color="auto" w:sz="4" w:space="0"/>
            </w:tcBorders>
            <w:vAlign w:val="center"/>
          </w:tcPr>
          <w:p w14:paraId="6B8EC316">
            <w:pPr>
              <w:snapToGrid w:val="0"/>
              <w:spacing w:line="360" w:lineRule="exact"/>
              <w:jc w:val="center"/>
              <w:rPr>
                <w:rFonts w:ascii="宋体"/>
                <w:szCs w:val="21"/>
              </w:rPr>
            </w:pPr>
            <w:r>
              <w:rPr>
                <w:rFonts w:hint="eastAsia" w:ascii="宋体" w:hAnsi="宋体"/>
                <w:szCs w:val="21"/>
              </w:rPr>
              <w:t>注：A入学教育，B军事训练，C课程教学，D复习考试，E技能鉴定，F顶岗实习，G毕业设计</w:t>
            </w:r>
          </w:p>
        </w:tc>
      </w:tr>
    </w:tbl>
    <w:p w14:paraId="7B544C9C">
      <w:pPr>
        <w:pStyle w:val="3"/>
        <w:spacing w:before="156" w:beforeLines="50" w:after="156" w:afterLines="50"/>
        <w:ind w:firstLine="482"/>
      </w:pPr>
      <w:bookmarkStart w:id="254" w:name="_Toc253"/>
      <w:r>
        <w:rPr>
          <w:rFonts w:hint="eastAsia"/>
        </w:rPr>
        <w:t>（二）公共课、专业课设置及学时分配</w:t>
      </w:r>
      <w:bookmarkEnd w:id="250"/>
      <w:bookmarkEnd w:id="251"/>
      <w:bookmarkEnd w:id="252"/>
      <w:bookmarkEnd w:id="253"/>
      <w:bookmarkEnd w:id="254"/>
    </w:p>
    <w:p w14:paraId="7DA6DFBC">
      <w:pPr>
        <w:overflowPunct w:val="0"/>
        <w:adjustRightInd w:val="0"/>
        <w:spacing w:after="0" w:line="440" w:lineRule="exact"/>
        <w:ind w:firstLine="480" w:firstLineChars="200"/>
        <w:outlineLvl w:val="2"/>
        <w:rPr>
          <w:rFonts w:asciiTheme="minorEastAsia" w:hAnsiTheme="minorEastAsia" w:eastAsiaTheme="minorEastAsia"/>
          <w:b/>
          <w:bCs/>
          <w:sz w:val="24"/>
          <w:szCs w:val="24"/>
        </w:rPr>
      </w:pPr>
      <w:bookmarkStart w:id="255" w:name="_Toc4059"/>
      <w:r>
        <w:rPr>
          <w:rFonts w:hint="eastAsia" w:asciiTheme="minorEastAsia" w:hAnsiTheme="minorEastAsia" w:eastAsiaTheme="minorEastAsia"/>
          <w:b/>
          <w:bCs/>
          <w:sz w:val="24"/>
          <w:szCs w:val="24"/>
        </w:rPr>
        <w:t>1.课程学时学分分配</w:t>
      </w:r>
      <w:bookmarkEnd w:id="255"/>
    </w:p>
    <w:p w14:paraId="50FC366A">
      <w:pPr>
        <w:pStyle w:val="25"/>
        <w:rPr>
          <w:sz w:val="24"/>
          <w:szCs w:val="24"/>
        </w:rPr>
      </w:pPr>
      <w:r>
        <w:rPr>
          <w:rFonts w:hint="eastAsia"/>
          <w:lang w:val="zh-CN" w:bidi="zh-CN"/>
        </w:rPr>
        <w:t>表1</w:t>
      </w:r>
      <w:r>
        <w:rPr>
          <w:lang w:val="zh-CN" w:bidi="zh-CN"/>
        </w:rPr>
        <w:t>1</w:t>
      </w:r>
      <w:r>
        <w:rPr>
          <w:rFonts w:hint="eastAsia"/>
          <w:lang w:val="zh-CN" w:bidi="zh-CN"/>
        </w:rPr>
        <w:t>：现代物业服务</w:t>
      </w:r>
      <w:r>
        <w:rPr>
          <w:rFonts w:hint="eastAsia"/>
          <w:lang w:bidi="zh-CN"/>
        </w:rPr>
        <w:t>专业</w:t>
      </w:r>
      <w:r>
        <w:rPr>
          <w:rFonts w:hint="eastAsia"/>
          <w:lang w:val="zh-CN" w:bidi="zh-CN"/>
        </w:rPr>
        <w:t>学时学分分配表</w:t>
      </w:r>
    </w:p>
    <w:tbl>
      <w:tblPr>
        <w:tblStyle w:val="14"/>
        <w:tblW w:w="86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2194"/>
        <w:gridCol w:w="1704"/>
        <w:gridCol w:w="1692"/>
      </w:tblGrid>
      <w:tr w14:paraId="321AD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shd w:val="clear" w:color="auto" w:fill="D9E2F3" w:themeFill="accent5" w:themeFillTint="33"/>
            <w:vAlign w:val="center"/>
          </w:tcPr>
          <w:p w14:paraId="4D0EBAA8">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学分分配</w:t>
            </w:r>
          </w:p>
        </w:tc>
        <w:tc>
          <w:tcPr>
            <w:tcW w:w="2194" w:type="dxa"/>
            <w:tcBorders>
              <w:tl2br w:val="nil"/>
              <w:tr2bl w:val="nil"/>
            </w:tcBorders>
            <w:shd w:val="clear" w:color="auto" w:fill="D9E2F3" w:themeFill="accent5" w:themeFillTint="33"/>
            <w:vAlign w:val="center"/>
          </w:tcPr>
          <w:p w14:paraId="78B706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学时总数</w:t>
            </w:r>
          </w:p>
        </w:tc>
        <w:tc>
          <w:tcPr>
            <w:tcW w:w="1704" w:type="dxa"/>
            <w:tcBorders>
              <w:tl2br w:val="nil"/>
              <w:tr2bl w:val="nil"/>
            </w:tcBorders>
            <w:shd w:val="clear" w:color="auto" w:fill="D9E2F3" w:themeFill="accent5" w:themeFillTint="33"/>
            <w:vAlign w:val="center"/>
          </w:tcPr>
          <w:p w14:paraId="2BEFF1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学分总数</w:t>
            </w:r>
          </w:p>
        </w:tc>
        <w:tc>
          <w:tcPr>
            <w:tcW w:w="1692" w:type="dxa"/>
            <w:tcBorders>
              <w:tl2br w:val="nil"/>
              <w:tr2bl w:val="nil"/>
            </w:tcBorders>
            <w:shd w:val="clear" w:color="auto" w:fill="D9E2F3" w:themeFill="accent5" w:themeFillTint="33"/>
            <w:vAlign w:val="center"/>
          </w:tcPr>
          <w:p w14:paraId="1A86676B">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68427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0C8ACDC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总学分</w:t>
            </w:r>
          </w:p>
        </w:tc>
        <w:tc>
          <w:tcPr>
            <w:tcW w:w="2194" w:type="dxa"/>
            <w:tcBorders>
              <w:tl2br w:val="nil"/>
              <w:tr2bl w:val="nil"/>
            </w:tcBorders>
            <w:vAlign w:val="center"/>
          </w:tcPr>
          <w:p w14:paraId="37903328">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1704" w:type="dxa"/>
            <w:tcBorders>
              <w:tl2br w:val="nil"/>
              <w:tr2bl w:val="nil"/>
            </w:tcBorders>
            <w:vAlign w:val="center"/>
          </w:tcPr>
          <w:p w14:paraId="2E2FEC1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151</w:t>
            </w:r>
          </w:p>
        </w:tc>
        <w:tc>
          <w:tcPr>
            <w:tcW w:w="1692" w:type="dxa"/>
            <w:tcBorders>
              <w:tl2br w:val="nil"/>
              <w:tr2bl w:val="nil"/>
            </w:tcBorders>
            <w:vAlign w:val="center"/>
          </w:tcPr>
          <w:p w14:paraId="19CF6A9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w:t>
            </w:r>
          </w:p>
        </w:tc>
      </w:tr>
      <w:tr w14:paraId="5738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13A084C0">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公共基础课</w:t>
            </w:r>
          </w:p>
        </w:tc>
        <w:tc>
          <w:tcPr>
            <w:tcW w:w="2194" w:type="dxa"/>
            <w:tcBorders>
              <w:tl2br w:val="nil"/>
              <w:tr2bl w:val="nil"/>
            </w:tcBorders>
            <w:vAlign w:val="center"/>
          </w:tcPr>
          <w:p w14:paraId="47FFFFC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988</w:t>
            </w:r>
          </w:p>
        </w:tc>
        <w:tc>
          <w:tcPr>
            <w:tcW w:w="1704" w:type="dxa"/>
            <w:tcBorders>
              <w:tl2br w:val="nil"/>
              <w:tr2bl w:val="nil"/>
            </w:tcBorders>
            <w:vAlign w:val="center"/>
          </w:tcPr>
          <w:p w14:paraId="39396C8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38</w:t>
            </w:r>
          </w:p>
        </w:tc>
        <w:tc>
          <w:tcPr>
            <w:tcW w:w="1692" w:type="dxa"/>
            <w:tcBorders>
              <w:tl2br w:val="nil"/>
              <w:tr2bl w:val="nil"/>
            </w:tcBorders>
            <w:vAlign w:val="center"/>
          </w:tcPr>
          <w:p w14:paraId="53EDBDF7">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36</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0F9E2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4001EB45">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专业课</w:t>
            </w:r>
          </w:p>
        </w:tc>
        <w:tc>
          <w:tcPr>
            <w:tcW w:w="2194" w:type="dxa"/>
            <w:tcBorders>
              <w:tl2br w:val="nil"/>
              <w:tr2bl w:val="nil"/>
            </w:tcBorders>
            <w:vAlign w:val="center"/>
          </w:tcPr>
          <w:p w14:paraId="6AC58C9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1152</w:t>
            </w:r>
          </w:p>
        </w:tc>
        <w:tc>
          <w:tcPr>
            <w:tcW w:w="1704" w:type="dxa"/>
            <w:tcBorders>
              <w:tl2br w:val="nil"/>
              <w:tr2bl w:val="nil"/>
            </w:tcBorders>
            <w:vAlign w:val="center"/>
          </w:tcPr>
          <w:p w14:paraId="1337F679">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64</w:t>
            </w:r>
          </w:p>
        </w:tc>
        <w:tc>
          <w:tcPr>
            <w:tcW w:w="1692" w:type="dxa"/>
            <w:tcBorders>
              <w:tl2br w:val="nil"/>
              <w:tr2bl w:val="nil"/>
            </w:tcBorders>
            <w:vAlign w:val="center"/>
          </w:tcPr>
          <w:p w14:paraId="29DAFA7A">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42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25FA0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C96AE5C">
            <w:pPr>
              <w:overflowPunct w:val="0"/>
              <w:adjustRightInd w:val="0"/>
              <w:spacing w:after="0" w:line="320" w:lineRule="exact"/>
              <w:jc w:val="center"/>
              <w:rPr>
                <w:rFonts w:hint="default" w:asciiTheme="minorEastAsia" w:hAnsiTheme="minorEastAsia" w:eastAsiaTheme="minorEastAsia"/>
                <w:sz w:val="18"/>
                <w:szCs w:val="18"/>
                <w:lang w:val="en-US" w:eastAsia="zh-CN"/>
              </w:rPr>
            </w:pPr>
            <w:r>
              <w:rPr>
                <w:rFonts w:hint="eastAsia" w:asciiTheme="minorEastAsia" w:hAnsiTheme="minorEastAsia" w:eastAsiaTheme="minorEastAsia"/>
                <w:sz w:val="18"/>
                <w:szCs w:val="18"/>
                <w:lang w:val="en-US" w:eastAsia="zh-CN"/>
              </w:rPr>
              <w:t>限定</w:t>
            </w:r>
            <w:r>
              <w:rPr>
                <w:rFonts w:hint="eastAsia" w:asciiTheme="minorEastAsia" w:hAnsiTheme="minorEastAsia" w:eastAsiaTheme="minorEastAsia"/>
                <w:sz w:val="18"/>
                <w:szCs w:val="18"/>
              </w:rPr>
              <w:t>选修课</w:t>
            </w:r>
            <w:r>
              <w:rPr>
                <w:rFonts w:hint="eastAsia" w:asciiTheme="minorEastAsia" w:hAnsiTheme="minorEastAsia" w:eastAsiaTheme="minorEastAsia"/>
                <w:sz w:val="18"/>
                <w:szCs w:val="18"/>
                <w:lang w:val="en-US" w:eastAsia="zh-CN"/>
              </w:rPr>
              <w:t>+任意选修课</w:t>
            </w:r>
          </w:p>
        </w:tc>
        <w:tc>
          <w:tcPr>
            <w:tcW w:w="2194" w:type="dxa"/>
            <w:tcBorders>
              <w:tl2br w:val="nil"/>
              <w:tr2bl w:val="nil"/>
            </w:tcBorders>
            <w:vAlign w:val="center"/>
          </w:tcPr>
          <w:p w14:paraId="2ED5746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254+</w:t>
            </w:r>
          </w:p>
        </w:tc>
        <w:tc>
          <w:tcPr>
            <w:tcW w:w="1704" w:type="dxa"/>
            <w:tcBorders>
              <w:tl2br w:val="nil"/>
              <w:tr2bl w:val="nil"/>
            </w:tcBorders>
            <w:vAlign w:val="center"/>
          </w:tcPr>
          <w:p w14:paraId="367CB4F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5+</w:t>
            </w:r>
          </w:p>
        </w:tc>
        <w:tc>
          <w:tcPr>
            <w:tcW w:w="1692" w:type="dxa"/>
            <w:tcBorders>
              <w:tl2br w:val="nil"/>
              <w:tr2bl w:val="nil"/>
            </w:tcBorders>
            <w:vAlign w:val="center"/>
          </w:tcPr>
          <w:p w14:paraId="117A9EA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w:t>
            </w:r>
            <w:r>
              <w:rPr>
                <w:rFonts w:asciiTheme="minorEastAsia" w:hAnsiTheme="minorEastAsia" w:eastAsiaTheme="minorEastAsia"/>
                <w:sz w:val="18"/>
                <w:szCs w:val="18"/>
              </w:rPr>
              <w:t>1</w:t>
            </w:r>
            <w:r>
              <w:rPr>
                <w:rFonts w:hint="eastAsia" w:asciiTheme="minorEastAsia" w:hAnsiTheme="minorEastAsia" w:eastAsiaTheme="minorEastAsia"/>
                <w:sz w:val="18"/>
                <w:szCs w:val="18"/>
                <w:lang w:val="en-US" w:eastAsia="zh-CN"/>
              </w:rPr>
              <w:t>0</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0</w:t>
            </w:r>
            <w:r>
              <w:rPr>
                <w:rFonts w:hint="eastAsia" w:asciiTheme="minorEastAsia" w:hAnsiTheme="minorEastAsia" w:eastAsiaTheme="minorEastAsia"/>
                <w:sz w:val="18"/>
                <w:szCs w:val="18"/>
              </w:rPr>
              <w:t>%</w:t>
            </w:r>
          </w:p>
        </w:tc>
      </w:tr>
      <w:tr w14:paraId="78B0A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16273C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实践课</w:t>
            </w:r>
          </w:p>
        </w:tc>
        <w:tc>
          <w:tcPr>
            <w:tcW w:w="2194" w:type="dxa"/>
            <w:tcBorders>
              <w:tl2br w:val="nil"/>
              <w:tr2bl w:val="nil"/>
            </w:tcBorders>
            <w:vAlign w:val="center"/>
          </w:tcPr>
          <w:p w14:paraId="6E570538">
            <w:pPr>
              <w:overflowPunct w:val="0"/>
              <w:adjustRightInd w:val="0"/>
              <w:spacing w:after="0" w:line="320" w:lineRule="exact"/>
              <w:jc w:val="center"/>
              <w:rPr>
                <w:rFonts w:hint="default" w:asciiTheme="minorEastAsia" w:hAnsiTheme="minorEastAsia" w:eastAsiaTheme="minorEastAsia"/>
                <w:b/>
                <w:bCs/>
                <w:sz w:val="18"/>
                <w:szCs w:val="18"/>
                <w:lang w:val="en-US"/>
              </w:rPr>
            </w:pPr>
            <w:r>
              <w:rPr>
                <w:rFonts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401</w:t>
            </w:r>
          </w:p>
        </w:tc>
        <w:tc>
          <w:tcPr>
            <w:tcW w:w="1704" w:type="dxa"/>
            <w:tcBorders>
              <w:tl2br w:val="nil"/>
              <w:tr2bl w:val="nil"/>
            </w:tcBorders>
            <w:vAlign w:val="center"/>
          </w:tcPr>
          <w:p w14:paraId="7675C797">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34</w:t>
            </w:r>
          </w:p>
        </w:tc>
        <w:tc>
          <w:tcPr>
            <w:tcW w:w="1692" w:type="dxa"/>
            <w:tcBorders>
              <w:tl2br w:val="nil"/>
              <w:tr2bl w:val="nil"/>
            </w:tcBorders>
            <w:vAlign w:val="center"/>
          </w:tcPr>
          <w:p w14:paraId="1FF1F522">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52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1</w:t>
            </w:r>
            <w:r>
              <w:rPr>
                <w:rFonts w:hint="eastAsia" w:asciiTheme="minorEastAsia" w:hAnsiTheme="minorEastAsia" w:eastAsiaTheme="minorEastAsia"/>
                <w:sz w:val="18"/>
                <w:szCs w:val="18"/>
              </w:rPr>
              <w:t>%</w:t>
            </w:r>
          </w:p>
        </w:tc>
      </w:tr>
    </w:tbl>
    <w:p w14:paraId="697D5CA3">
      <w:pPr>
        <w:overflowPunct w:val="0"/>
        <w:adjustRightInd w:val="0"/>
        <w:spacing w:after="0" w:line="440" w:lineRule="exact"/>
        <w:ind w:firstLine="480" w:firstLineChars="200"/>
        <w:outlineLvl w:val="2"/>
        <w:rPr>
          <w:rFonts w:asciiTheme="minorEastAsia" w:hAnsiTheme="minorEastAsia" w:eastAsiaTheme="minorEastAsia"/>
          <w:b/>
          <w:bCs/>
          <w:sz w:val="24"/>
          <w:szCs w:val="24"/>
        </w:rPr>
      </w:pPr>
      <w:bookmarkStart w:id="256" w:name="_Toc30072"/>
      <w:r>
        <w:rPr>
          <w:rFonts w:hint="eastAsia" w:asciiTheme="minorEastAsia" w:hAnsiTheme="minorEastAsia" w:eastAsiaTheme="minorEastAsia"/>
          <w:b/>
          <w:bCs/>
          <w:sz w:val="24"/>
          <w:szCs w:val="24"/>
        </w:rPr>
        <w:t>2.奖励学分核算</w:t>
      </w:r>
      <w:bookmarkEnd w:id="256"/>
    </w:p>
    <w:p w14:paraId="300E50CB">
      <w:pPr>
        <w:pStyle w:val="25"/>
        <w:rPr>
          <w:lang w:val="zh-CN" w:bidi="zh-CN"/>
        </w:rPr>
      </w:pPr>
      <w:r>
        <w:rPr>
          <w:rFonts w:hint="eastAsia"/>
          <w:lang w:val="zh-CN" w:bidi="zh-CN"/>
        </w:rPr>
        <w:t>表1</w:t>
      </w:r>
      <w:r>
        <w:rPr>
          <w:lang w:val="zh-CN" w:bidi="zh-CN"/>
        </w:rPr>
        <w:t>2</w:t>
      </w:r>
      <w:r>
        <w:rPr>
          <w:rFonts w:hint="eastAsia"/>
          <w:lang w:val="zh-CN" w:bidi="zh-CN"/>
        </w:rPr>
        <w:t>：奖励学分核算表</w:t>
      </w:r>
    </w:p>
    <w:tbl>
      <w:tblPr>
        <w:tblStyle w:val="14"/>
        <w:tblW w:w="87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1"/>
        <w:gridCol w:w="2193"/>
        <w:gridCol w:w="1962"/>
        <w:gridCol w:w="1971"/>
      </w:tblGrid>
      <w:tr w14:paraId="1A4A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shd w:val="clear" w:color="auto" w:fill="D9E2F3" w:themeFill="accent5" w:themeFillTint="33"/>
          </w:tcPr>
          <w:p w14:paraId="18887361">
            <w:pPr>
              <w:overflowPunct w:val="0"/>
              <w:adjustRightInd w:val="0"/>
              <w:spacing w:after="0" w:line="320" w:lineRule="exact"/>
              <w:ind w:firstLine="360"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项目</w:t>
            </w:r>
          </w:p>
        </w:tc>
        <w:tc>
          <w:tcPr>
            <w:tcW w:w="2193" w:type="dxa"/>
            <w:tcBorders>
              <w:tl2br w:val="nil"/>
              <w:tr2bl w:val="nil"/>
            </w:tcBorders>
            <w:shd w:val="clear" w:color="auto" w:fill="D9E2F3" w:themeFill="accent5" w:themeFillTint="33"/>
          </w:tcPr>
          <w:p w14:paraId="0DAFB8C5">
            <w:pPr>
              <w:overflowPunct w:val="0"/>
              <w:adjustRightInd w:val="0"/>
              <w:spacing w:after="0" w:line="320" w:lineRule="exact"/>
              <w:ind w:firstLine="360"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一等奖/高级</w:t>
            </w:r>
          </w:p>
        </w:tc>
        <w:tc>
          <w:tcPr>
            <w:tcW w:w="1962" w:type="dxa"/>
            <w:tcBorders>
              <w:tl2br w:val="nil"/>
              <w:tr2bl w:val="nil"/>
            </w:tcBorders>
            <w:shd w:val="clear" w:color="auto" w:fill="D9E2F3" w:themeFill="accent5" w:themeFillTint="33"/>
          </w:tcPr>
          <w:p w14:paraId="19E43C01">
            <w:pPr>
              <w:overflowPunct w:val="0"/>
              <w:adjustRightInd w:val="0"/>
              <w:spacing w:after="0" w:line="320" w:lineRule="exact"/>
              <w:ind w:firstLine="360"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二等奖/中级</w:t>
            </w:r>
          </w:p>
        </w:tc>
        <w:tc>
          <w:tcPr>
            <w:tcW w:w="1971" w:type="dxa"/>
            <w:tcBorders>
              <w:tl2br w:val="nil"/>
              <w:tr2bl w:val="nil"/>
            </w:tcBorders>
            <w:shd w:val="clear" w:color="auto" w:fill="D9E2F3" w:themeFill="accent5" w:themeFillTint="33"/>
          </w:tcPr>
          <w:p w14:paraId="31D8E421">
            <w:pPr>
              <w:overflowPunct w:val="0"/>
              <w:adjustRightInd w:val="0"/>
              <w:spacing w:after="0" w:line="320" w:lineRule="exact"/>
              <w:ind w:firstLine="360"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三等奖/初级</w:t>
            </w:r>
          </w:p>
        </w:tc>
      </w:tr>
      <w:tr w14:paraId="1C7D8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35CC78A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国家级获奖</w:t>
            </w:r>
          </w:p>
        </w:tc>
        <w:tc>
          <w:tcPr>
            <w:tcW w:w="2193" w:type="dxa"/>
            <w:tcBorders>
              <w:tl2br w:val="nil"/>
              <w:tr2bl w:val="nil"/>
            </w:tcBorders>
          </w:tcPr>
          <w:p w14:paraId="31091F5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8</w:t>
            </w:r>
          </w:p>
        </w:tc>
        <w:tc>
          <w:tcPr>
            <w:tcW w:w="1962" w:type="dxa"/>
            <w:tcBorders>
              <w:tl2br w:val="nil"/>
              <w:tr2bl w:val="nil"/>
            </w:tcBorders>
          </w:tcPr>
          <w:p w14:paraId="676C0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71" w:type="dxa"/>
            <w:tcBorders>
              <w:tl2br w:val="nil"/>
              <w:tr2bl w:val="nil"/>
            </w:tcBorders>
          </w:tcPr>
          <w:p w14:paraId="6F2E98A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r>
      <w:tr w14:paraId="799BF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3EB85B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省级获奖</w:t>
            </w:r>
          </w:p>
        </w:tc>
        <w:tc>
          <w:tcPr>
            <w:tcW w:w="2193" w:type="dxa"/>
            <w:tcBorders>
              <w:tl2br w:val="nil"/>
              <w:tr2bl w:val="nil"/>
            </w:tcBorders>
          </w:tcPr>
          <w:p w14:paraId="7FD9D1E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1F21B6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8CC673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3F572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2ADC723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市、院级获奖</w:t>
            </w:r>
          </w:p>
        </w:tc>
        <w:tc>
          <w:tcPr>
            <w:tcW w:w="2193" w:type="dxa"/>
            <w:tcBorders>
              <w:tl2br w:val="nil"/>
              <w:tr2bl w:val="nil"/>
            </w:tcBorders>
          </w:tcPr>
          <w:p w14:paraId="1EBED23F">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3</w:t>
            </w:r>
          </w:p>
        </w:tc>
        <w:tc>
          <w:tcPr>
            <w:tcW w:w="1962" w:type="dxa"/>
            <w:tcBorders>
              <w:tl2br w:val="nil"/>
              <w:tr2bl w:val="nil"/>
            </w:tcBorders>
          </w:tcPr>
          <w:p w14:paraId="3A1E822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c>
          <w:tcPr>
            <w:tcW w:w="1971" w:type="dxa"/>
            <w:tcBorders>
              <w:tl2br w:val="nil"/>
              <w:tr2bl w:val="nil"/>
            </w:tcBorders>
          </w:tcPr>
          <w:p w14:paraId="6A5D40D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r>
      <w:tr w14:paraId="708EC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5D1CC4D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系部级获奖</w:t>
            </w:r>
          </w:p>
        </w:tc>
        <w:tc>
          <w:tcPr>
            <w:tcW w:w="2193" w:type="dxa"/>
            <w:tcBorders>
              <w:tl2br w:val="nil"/>
              <w:tr2bl w:val="nil"/>
            </w:tcBorders>
          </w:tcPr>
          <w:p w14:paraId="610B39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40D971F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12EB4CD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r w14:paraId="47FDD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6BB29D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职业资格证书</w:t>
            </w:r>
          </w:p>
        </w:tc>
        <w:tc>
          <w:tcPr>
            <w:tcW w:w="2193" w:type="dxa"/>
            <w:tcBorders>
              <w:tl2br w:val="nil"/>
              <w:tr2bl w:val="nil"/>
            </w:tcBorders>
          </w:tcPr>
          <w:p w14:paraId="6FFE098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235219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10698E3">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57ADF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1569297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技能等级证书</w:t>
            </w:r>
          </w:p>
        </w:tc>
        <w:tc>
          <w:tcPr>
            <w:tcW w:w="2193" w:type="dxa"/>
            <w:tcBorders>
              <w:tl2br w:val="nil"/>
              <w:tr2bl w:val="nil"/>
            </w:tcBorders>
          </w:tcPr>
          <w:p w14:paraId="6730DFE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4F641881">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0DE4FA4B">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7551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591" w:type="dxa"/>
            <w:tcBorders>
              <w:tl2br w:val="nil"/>
              <w:tr2bl w:val="nil"/>
            </w:tcBorders>
          </w:tcPr>
          <w:p w14:paraId="57C6B1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品德评价证书</w:t>
            </w:r>
          </w:p>
        </w:tc>
        <w:tc>
          <w:tcPr>
            <w:tcW w:w="2193" w:type="dxa"/>
            <w:tcBorders>
              <w:tl2br w:val="nil"/>
              <w:tr2bl w:val="nil"/>
            </w:tcBorders>
          </w:tcPr>
          <w:p w14:paraId="3B8C6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2872BF89">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0D46F7F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bl>
    <w:p w14:paraId="7226FA18">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bCs/>
          <w:sz w:val="24"/>
          <w:szCs w:val="24"/>
        </w:rPr>
        <w:t>学分核算办法：</w:t>
      </w:r>
      <w:r>
        <w:rPr>
          <w:rFonts w:hint="eastAsia" w:asciiTheme="minorEastAsia" w:hAnsiTheme="minorEastAsia" w:eastAsiaTheme="minorEastAsia"/>
          <w:sz w:val="24"/>
          <w:szCs w:val="24"/>
        </w:rPr>
        <w:t>学分计算以</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为最小单位（基元单位）。每门课程一般以每18学时计1学分</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 xml:space="preserve">按照成绩核算学分。独立设置的课程设计、实习、实训每周计1学分。校内专项实训、工学交替实训、毕业设计、岗位实习等每周计 </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 xml:space="preserve"> 学分。拓展活动项目累计18学时计1学分。各类获奖、技能定级按级别申请奖励学分。</w:t>
      </w:r>
    </w:p>
    <w:p w14:paraId="39E39A89">
      <w:pPr>
        <w:pStyle w:val="3"/>
        <w:ind w:firstLine="482"/>
        <w:rPr>
          <w:rFonts w:asciiTheme="minorEastAsia" w:hAnsiTheme="minorEastAsia" w:eastAsiaTheme="minorEastAsia"/>
          <w:b w:val="0"/>
          <w:bCs w:val="0"/>
          <w:szCs w:val="24"/>
        </w:rPr>
      </w:pPr>
      <w:bookmarkStart w:id="257" w:name="_Toc77884802"/>
      <w:bookmarkStart w:id="258" w:name="_Toc77885004"/>
      <w:bookmarkStart w:id="259" w:name="_Toc26817"/>
      <w:bookmarkStart w:id="260" w:name="_Toc23238"/>
      <w:bookmarkStart w:id="261" w:name="_Toc8739"/>
      <w:r>
        <w:rPr>
          <w:rFonts w:hint="eastAsia" w:asciiTheme="minorEastAsia" w:hAnsiTheme="minorEastAsia" w:eastAsiaTheme="minorEastAsia"/>
          <w:szCs w:val="24"/>
        </w:rPr>
        <w:t>（三）理论课、实践课设置及学时分配</w:t>
      </w:r>
      <w:bookmarkEnd w:id="257"/>
      <w:bookmarkEnd w:id="258"/>
      <w:bookmarkEnd w:id="259"/>
      <w:bookmarkEnd w:id="260"/>
      <w:bookmarkEnd w:id="261"/>
    </w:p>
    <w:p w14:paraId="556A71DB">
      <w:pPr>
        <w:pStyle w:val="25"/>
        <w:rPr>
          <w:lang w:val="zh-CN" w:bidi="zh-CN"/>
        </w:rPr>
      </w:pPr>
      <w:r>
        <w:rPr>
          <w:rFonts w:hint="eastAsia"/>
          <w:lang w:val="zh-CN" w:bidi="zh-CN"/>
        </w:rPr>
        <w:t>表1</w:t>
      </w:r>
      <w:r>
        <w:rPr>
          <w:lang w:val="zh-CN" w:bidi="zh-CN"/>
        </w:rPr>
        <w:t>3</w:t>
      </w:r>
      <w:r>
        <w:rPr>
          <w:rFonts w:hint="eastAsia"/>
          <w:lang w:val="zh-CN" w:bidi="zh-CN"/>
        </w:rPr>
        <w:t>：理论课、实践课设置及学时分配</w:t>
      </w:r>
    </w:p>
    <w:tbl>
      <w:tblPr>
        <w:tblStyle w:val="14"/>
        <w:tblpPr w:leftFromText="180" w:rightFromText="180" w:vertAnchor="text" w:horzAnchor="page" w:tblpX="1304" w:tblpY="414"/>
        <w:tblOverlap w:val="never"/>
        <w:tblW w:w="4999" w:type="pct"/>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62"/>
        <w:gridCol w:w="2162"/>
        <w:gridCol w:w="2368"/>
        <w:gridCol w:w="2592"/>
      </w:tblGrid>
      <w:tr w14:paraId="0E6315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64" w:type="pct"/>
            <w:tcBorders>
              <w:top w:val="single" w:color="auto" w:sz="4" w:space="0"/>
              <w:left w:val="single" w:color="auto" w:sz="4" w:space="0"/>
              <w:tl2br w:val="nil"/>
              <w:tr2bl w:val="nil"/>
            </w:tcBorders>
            <w:shd w:val="clear" w:color="auto" w:fill="D9E2F3" w:themeFill="accent5" w:themeFillTint="33"/>
          </w:tcPr>
          <w:p w14:paraId="3A6FF43D">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课程类别</w:t>
            </w:r>
          </w:p>
        </w:tc>
        <w:tc>
          <w:tcPr>
            <w:tcW w:w="1164" w:type="pct"/>
            <w:tcBorders>
              <w:top w:val="single" w:color="auto" w:sz="4" w:space="0"/>
              <w:tl2br w:val="nil"/>
              <w:tr2bl w:val="nil"/>
            </w:tcBorders>
            <w:shd w:val="clear" w:color="auto" w:fill="D9E2F3" w:themeFill="accent5" w:themeFillTint="33"/>
          </w:tcPr>
          <w:p w14:paraId="2D5D55C3">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学时数</w:t>
            </w:r>
          </w:p>
        </w:tc>
        <w:tc>
          <w:tcPr>
            <w:tcW w:w="1275" w:type="pct"/>
            <w:tcBorders>
              <w:top w:val="single" w:color="auto" w:sz="4" w:space="0"/>
              <w:tl2br w:val="nil"/>
              <w:tr2bl w:val="nil"/>
            </w:tcBorders>
            <w:shd w:val="clear" w:color="auto" w:fill="D9E2F3" w:themeFill="accent5" w:themeFillTint="33"/>
          </w:tcPr>
          <w:p w14:paraId="6B1AAAF6">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占总学时百分比</w:t>
            </w:r>
          </w:p>
        </w:tc>
        <w:tc>
          <w:tcPr>
            <w:tcW w:w="1395" w:type="pct"/>
            <w:tcBorders>
              <w:top w:val="single" w:color="auto" w:sz="4" w:space="0"/>
              <w:right w:val="single" w:color="auto" w:sz="4" w:space="0"/>
              <w:tl2br w:val="nil"/>
              <w:tr2bl w:val="nil"/>
            </w:tcBorders>
            <w:shd w:val="clear" w:color="auto" w:fill="D9E2F3" w:themeFill="accent5" w:themeFillTint="33"/>
          </w:tcPr>
          <w:p w14:paraId="3380536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3814788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64" w:type="pct"/>
            <w:tcBorders>
              <w:left w:val="single" w:color="auto" w:sz="4" w:space="0"/>
              <w:tl2br w:val="nil"/>
              <w:tr2bl w:val="nil"/>
            </w:tcBorders>
          </w:tcPr>
          <w:p w14:paraId="715E8579">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理论教学</w:t>
            </w:r>
          </w:p>
        </w:tc>
        <w:tc>
          <w:tcPr>
            <w:tcW w:w="1164" w:type="pct"/>
            <w:tcBorders>
              <w:tl2br w:val="nil"/>
              <w:tr2bl w:val="nil"/>
            </w:tcBorders>
          </w:tcPr>
          <w:p w14:paraId="2104070E">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1287</w:t>
            </w:r>
          </w:p>
        </w:tc>
        <w:tc>
          <w:tcPr>
            <w:tcW w:w="1275" w:type="pct"/>
            <w:tcBorders>
              <w:tl2br w:val="nil"/>
              <w:tr2bl w:val="nil"/>
            </w:tcBorders>
          </w:tcPr>
          <w:p w14:paraId="6F48441D">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47.9</w:t>
            </w:r>
            <w:r>
              <w:rPr>
                <w:rFonts w:asciiTheme="minorEastAsia" w:hAnsiTheme="minorEastAsia" w:eastAsiaTheme="minorEastAsia"/>
                <w:b/>
                <w:bCs/>
                <w:sz w:val="18"/>
                <w:szCs w:val="18"/>
              </w:rPr>
              <w:t>%</w:t>
            </w:r>
          </w:p>
        </w:tc>
        <w:tc>
          <w:tcPr>
            <w:tcW w:w="1395" w:type="pct"/>
            <w:tcBorders>
              <w:right w:val="single" w:color="auto" w:sz="4" w:space="0"/>
              <w:tl2br w:val="nil"/>
              <w:tr2bl w:val="nil"/>
            </w:tcBorders>
          </w:tcPr>
          <w:p w14:paraId="4FB99C00">
            <w:pPr>
              <w:spacing w:after="0" w:line="320" w:lineRule="exact"/>
              <w:jc w:val="center"/>
              <w:rPr>
                <w:rFonts w:asciiTheme="minorEastAsia" w:hAnsiTheme="minorEastAsia" w:eastAsiaTheme="minorEastAsia"/>
                <w:b/>
                <w:bCs/>
                <w:sz w:val="18"/>
                <w:szCs w:val="18"/>
              </w:rPr>
            </w:pPr>
          </w:p>
        </w:tc>
      </w:tr>
      <w:tr w14:paraId="671880E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64" w:type="pct"/>
            <w:tcBorders>
              <w:left w:val="single" w:color="auto" w:sz="4" w:space="0"/>
              <w:tl2br w:val="nil"/>
              <w:tr2bl w:val="nil"/>
            </w:tcBorders>
          </w:tcPr>
          <w:p w14:paraId="7C40BBC2">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实践教学</w:t>
            </w:r>
          </w:p>
        </w:tc>
        <w:tc>
          <w:tcPr>
            <w:tcW w:w="1164" w:type="pct"/>
            <w:tcBorders>
              <w:tl2br w:val="nil"/>
              <w:tr2bl w:val="nil"/>
            </w:tcBorders>
          </w:tcPr>
          <w:p w14:paraId="6D326276">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1401</w:t>
            </w:r>
          </w:p>
        </w:tc>
        <w:tc>
          <w:tcPr>
            <w:tcW w:w="1275" w:type="pct"/>
            <w:tcBorders>
              <w:tl2br w:val="nil"/>
              <w:tr2bl w:val="nil"/>
            </w:tcBorders>
          </w:tcPr>
          <w:p w14:paraId="53AD6130">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52</w:t>
            </w:r>
            <w:r>
              <w:rPr>
                <w:rFonts w:asciiTheme="minorEastAsia" w:hAnsiTheme="minorEastAsia" w:eastAsiaTheme="minorEastAsia"/>
                <w:b/>
                <w:bCs/>
                <w:sz w:val="18"/>
                <w:szCs w:val="18"/>
              </w:rPr>
              <w:t>.</w:t>
            </w:r>
            <w:r>
              <w:rPr>
                <w:rFonts w:hint="eastAsia" w:asciiTheme="minorEastAsia" w:hAnsiTheme="minorEastAsia" w:eastAsiaTheme="minorEastAsia"/>
                <w:b/>
                <w:bCs/>
                <w:sz w:val="18"/>
                <w:szCs w:val="18"/>
                <w:lang w:val="en-US" w:eastAsia="zh-CN"/>
              </w:rPr>
              <w:t>1</w:t>
            </w:r>
            <w:r>
              <w:rPr>
                <w:rFonts w:asciiTheme="minorEastAsia" w:hAnsiTheme="minorEastAsia" w:eastAsiaTheme="minorEastAsia"/>
                <w:b/>
                <w:bCs/>
                <w:sz w:val="18"/>
                <w:szCs w:val="18"/>
              </w:rPr>
              <w:t>%</w:t>
            </w:r>
          </w:p>
        </w:tc>
        <w:tc>
          <w:tcPr>
            <w:tcW w:w="1395" w:type="pct"/>
            <w:tcBorders>
              <w:right w:val="single" w:color="auto" w:sz="4" w:space="0"/>
              <w:tl2br w:val="nil"/>
              <w:tr2bl w:val="nil"/>
            </w:tcBorders>
          </w:tcPr>
          <w:p w14:paraId="3EF2718F">
            <w:pPr>
              <w:spacing w:after="0" w:line="320" w:lineRule="exact"/>
              <w:jc w:val="center"/>
              <w:rPr>
                <w:rFonts w:asciiTheme="minorEastAsia" w:hAnsiTheme="minorEastAsia" w:eastAsiaTheme="minorEastAsia"/>
                <w:b/>
                <w:bCs/>
                <w:sz w:val="18"/>
                <w:szCs w:val="18"/>
              </w:rPr>
            </w:pPr>
          </w:p>
        </w:tc>
      </w:tr>
      <w:tr w14:paraId="313B262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164" w:type="pct"/>
            <w:tcBorders>
              <w:left w:val="single" w:color="auto" w:sz="4" w:space="0"/>
              <w:bottom w:val="single" w:color="auto" w:sz="4" w:space="0"/>
              <w:tl2br w:val="nil"/>
              <w:tr2bl w:val="nil"/>
            </w:tcBorders>
          </w:tcPr>
          <w:p w14:paraId="3039A941">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总学时</w:t>
            </w:r>
          </w:p>
        </w:tc>
        <w:tc>
          <w:tcPr>
            <w:tcW w:w="1164" w:type="pct"/>
            <w:tcBorders>
              <w:bottom w:val="single" w:color="auto" w:sz="4" w:space="0"/>
              <w:tl2br w:val="nil"/>
              <w:tr2bl w:val="nil"/>
            </w:tcBorders>
          </w:tcPr>
          <w:p w14:paraId="13125BC9">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1275" w:type="pct"/>
            <w:tcBorders>
              <w:bottom w:val="single" w:color="auto" w:sz="4" w:space="0"/>
              <w:tl2br w:val="nil"/>
              <w:tr2bl w:val="nil"/>
            </w:tcBorders>
          </w:tcPr>
          <w:p w14:paraId="5C83AC43">
            <w:pPr>
              <w:spacing w:after="0" w:line="320" w:lineRule="exact"/>
              <w:jc w:val="center"/>
              <w:rPr>
                <w:rFonts w:asciiTheme="minorEastAsia" w:hAnsiTheme="minorEastAsia" w:eastAsiaTheme="minorEastAsia"/>
                <w:b/>
                <w:bCs/>
                <w:sz w:val="18"/>
                <w:szCs w:val="18"/>
              </w:rPr>
            </w:pPr>
            <w:r>
              <w:rPr>
                <w:rFonts w:asciiTheme="minorEastAsia" w:hAnsiTheme="minorEastAsia" w:eastAsiaTheme="minorEastAsia"/>
                <w:b/>
                <w:bCs/>
                <w:sz w:val="18"/>
                <w:szCs w:val="18"/>
              </w:rPr>
              <w:t>100%</w:t>
            </w:r>
          </w:p>
        </w:tc>
        <w:tc>
          <w:tcPr>
            <w:tcW w:w="1395" w:type="pct"/>
            <w:tcBorders>
              <w:bottom w:val="single" w:color="auto" w:sz="4" w:space="0"/>
              <w:right w:val="single" w:color="auto" w:sz="4" w:space="0"/>
              <w:tl2br w:val="nil"/>
              <w:tr2bl w:val="nil"/>
            </w:tcBorders>
          </w:tcPr>
          <w:p w14:paraId="2694FB63">
            <w:pPr>
              <w:spacing w:after="0" w:line="320" w:lineRule="exact"/>
              <w:jc w:val="center"/>
              <w:rPr>
                <w:rFonts w:asciiTheme="minorEastAsia" w:hAnsiTheme="minorEastAsia" w:eastAsiaTheme="minorEastAsia"/>
                <w:b/>
                <w:bCs/>
                <w:sz w:val="18"/>
                <w:szCs w:val="18"/>
              </w:rPr>
            </w:pPr>
          </w:p>
        </w:tc>
      </w:tr>
    </w:tbl>
    <w:p w14:paraId="5678CB91">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rPr>
          <w:rFonts w:hint="eastAsia" w:cs="宋体" w:asciiTheme="minorEastAsia" w:hAnsiTheme="minorEastAsia" w:eastAsiaTheme="minorEastAsia"/>
          <w:bCs/>
          <w:sz w:val="24"/>
          <w:szCs w:val="24"/>
          <w:lang w:eastAsia="zh-CN"/>
        </w:rPr>
      </w:pPr>
      <w:r>
        <w:rPr>
          <w:rFonts w:hint="eastAsia" w:cs="宋体" w:asciiTheme="minorEastAsia" w:hAnsiTheme="minorEastAsia" w:eastAsiaTheme="minorEastAsia"/>
          <w:bCs/>
          <w:sz w:val="24"/>
          <w:szCs w:val="24"/>
        </w:rPr>
        <w:t>注：1.理论教学总学时包含公共</w:t>
      </w:r>
      <w:r>
        <w:rPr>
          <w:rFonts w:hint="eastAsia" w:cs="宋体" w:asciiTheme="minorEastAsia" w:hAnsiTheme="minorEastAsia" w:eastAsiaTheme="minorEastAsia"/>
          <w:bCs/>
          <w:sz w:val="24"/>
          <w:szCs w:val="24"/>
          <w:lang w:val="en-US" w:eastAsia="zh-CN"/>
        </w:rPr>
        <w:t>基础</w:t>
      </w:r>
      <w:r>
        <w:rPr>
          <w:rFonts w:hint="eastAsia" w:cs="宋体" w:asciiTheme="minorEastAsia" w:hAnsiTheme="minorEastAsia" w:eastAsiaTheme="minorEastAsia"/>
          <w:bCs/>
          <w:sz w:val="24"/>
          <w:szCs w:val="24"/>
        </w:rPr>
        <w:t>课</w:t>
      </w:r>
      <w:r>
        <w:rPr>
          <w:rFonts w:hint="eastAsia" w:cs="宋体" w:asciiTheme="minorEastAsia" w:hAnsiTheme="minorEastAsia" w:eastAsiaTheme="minorEastAsia"/>
          <w:bCs/>
          <w:sz w:val="24"/>
          <w:szCs w:val="24"/>
          <w:lang w:eastAsia="zh-CN"/>
        </w:rPr>
        <w:t>、</w:t>
      </w:r>
      <w:r>
        <w:rPr>
          <w:rFonts w:hint="eastAsia" w:cs="宋体" w:asciiTheme="minorEastAsia" w:hAnsiTheme="minorEastAsia" w:eastAsiaTheme="minorEastAsia"/>
          <w:bCs/>
          <w:sz w:val="24"/>
          <w:szCs w:val="24"/>
        </w:rPr>
        <w:t>专业课</w:t>
      </w:r>
      <w:r>
        <w:rPr>
          <w:rFonts w:hint="eastAsia" w:cs="宋体" w:asciiTheme="minorEastAsia" w:hAnsiTheme="minorEastAsia" w:eastAsiaTheme="minorEastAsia"/>
          <w:bCs/>
          <w:sz w:val="24"/>
          <w:szCs w:val="24"/>
          <w:lang w:val="en-US" w:eastAsia="zh-CN"/>
        </w:rPr>
        <w:t>、专业拓展课理论教学</w:t>
      </w:r>
      <w:r>
        <w:rPr>
          <w:rFonts w:hint="eastAsia" w:cs="宋体" w:asciiTheme="minorEastAsia" w:hAnsiTheme="minorEastAsia" w:eastAsiaTheme="minorEastAsia"/>
          <w:bCs/>
          <w:sz w:val="24"/>
          <w:szCs w:val="24"/>
        </w:rPr>
        <w:t>总学时</w:t>
      </w:r>
      <w:r>
        <w:rPr>
          <w:rFonts w:hint="eastAsia" w:cs="宋体" w:asciiTheme="minorEastAsia" w:hAnsiTheme="minorEastAsia" w:eastAsiaTheme="minorEastAsia"/>
          <w:bCs/>
          <w:sz w:val="24"/>
          <w:szCs w:val="24"/>
          <w:lang w:val="en-US" w:eastAsia="zh-CN"/>
        </w:rPr>
        <w:t>。</w:t>
      </w:r>
    </w:p>
    <w:p w14:paraId="1D2EA3C4">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outlineLvl w:val="2"/>
        <w:rPr>
          <w:rFonts w:cs="宋体" w:asciiTheme="minorEastAsia" w:hAnsiTheme="minorEastAsia" w:eastAsiaTheme="minorEastAsia"/>
          <w:bCs/>
          <w:sz w:val="24"/>
          <w:szCs w:val="24"/>
        </w:rPr>
      </w:pPr>
      <w:r>
        <w:rPr>
          <w:rFonts w:hint="eastAsia" w:cs="宋体" w:asciiTheme="minorEastAsia" w:hAnsiTheme="minorEastAsia" w:eastAsiaTheme="minorEastAsia"/>
          <w:bCs/>
          <w:sz w:val="24"/>
          <w:szCs w:val="24"/>
        </w:rPr>
        <w:t xml:space="preserve">    </w:t>
      </w:r>
      <w:bookmarkStart w:id="262" w:name="_Toc21371"/>
      <w:r>
        <w:rPr>
          <w:rFonts w:hint="eastAsia" w:cs="宋体" w:asciiTheme="minorEastAsia" w:hAnsiTheme="minorEastAsia" w:eastAsiaTheme="minorEastAsia"/>
          <w:bCs/>
          <w:sz w:val="24"/>
          <w:szCs w:val="24"/>
        </w:rPr>
        <w:t>2.实践教学总学时包含实验、实训、实习学时数。</w:t>
      </w:r>
      <w:bookmarkEnd w:id="262"/>
    </w:p>
    <w:p w14:paraId="1D90E9BB">
      <w:pPr>
        <w:pStyle w:val="2"/>
        <w:keepNext w:val="0"/>
        <w:keepLines w:val="0"/>
        <w:pageBreakBefore w:val="0"/>
        <w:widowControl/>
        <w:kinsoku/>
        <w:wordWrap/>
        <w:overflowPunct/>
        <w:topLinePunct w:val="0"/>
        <w:autoSpaceDE/>
        <w:autoSpaceDN/>
        <w:bidi w:val="0"/>
        <w:adjustRightInd/>
        <w:snapToGrid w:val="0"/>
        <w:spacing w:before="0" w:after="0" w:line="440" w:lineRule="exact"/>
        <w:ind w:left="584"/>
        <w:jc w:val="both"/>
        <w:textAlignment w:val="auto"/>
        <w:rPr>
          <w:b/>
          <w:bCs/>
          <w:sz w:val="28"/>
          <w:szCs w:val="28"/>
        </w:rPr>
      </w:pPr>
      <w:bookmarkStart w:id="263" w:name="_Toc77884803"/>
      <w:bookmarkStart w:id="264" w:name="_Toc77885005"/>
      <w:bookmarkStart w:id="265" w:name="_Toc16495"/>
      <w:bookmarkStart w:id="266" w:name="_Toc6437"/>
      <w:bookmarkStart w:id="267" w:name="_Toc11888"/>
      <w:r>
        <w:rPr>
          <w:rFonts w:hint="eastAsia"/>
          <w:b/>
          <w:bCs/>
          <w:sz w:val="28"/>
          <w:szCs w:val="28"/>
          <w:lang w:val="en-US" w:eastAsia="zh-CN"/>
        </w:rPr>
        <w:t>七</w:t>
      </w:r>
      <w:r>
        <w:rPr>
          <w:rFonts w:hint="eastAsia"/>
          <w:b/>
          <w:bCs/>
          <w:sz w:val="28"/>
          <w:szCs w:val="28"/>
        </w:rPr>
        <w:t>、</w:t>
      </w:r>
      <w:r>
        <w:rPr>
          <w:b/>
          <w:bCs/>
          <w:sz w:val="28"/>
          <w:szCs w:val="28"/>
        </w:rPr>
        <w:t>实施保障</w:t>
      </w:r>
      <w:bookmarkEnd w:id="263"/>
      <w:bookmarkEnd w:id="264"/>
      <w:bookmarkEnd w:id="265"/>
      <w:bookmarkEnd w:id="266"/>
      <w:bookmarkEnd w:id="267"/>
    </w:p>
    <w:p w14:paraId="09E48C07">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68" w:name="_Toc16783"/>
      <w:bookmarkStart w:id="269" w:name="_Toc77884805"/>
      <w:bookmarkStart w:id="270" w:name="_Toc77885007"/>
      <w:bookmarkStart w:id="271" w:name="_Toc17000"/>
      <w:bookmarkStart w:id="272" w:name="_Toc27943"/>
      <w:r>
        <w:rPr>
          <w:rFonts w:hint="eastAsia" w:asciiTheme="minorEastAsia" w:hAnsiTheme="minorEastAsia" w:eastAsiaTheme="minorEastAsia" w:cstheme="majorBidi"/>
          <w:b w:val="0"/>
          <w:bCs w:val="0"/>
          <w:szCs w:val="24"/>
          <w:lang w:val="en-US" w:bidi="ar-SA"/>
        </w:rPr>
        <w:t>（一）师资队伍</w:t>
      </w:r>
      <w:bookmarkEnd w:id="268"/>
    </w:p>
    <w:p w14:paraId="4909B37C">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bookmarkStart w:id="273" w:name="_Toc16044"/>
      <w:bookmarkStart w:id="274" w:name="_Toc30370"/>
      <w:r>
        <w:rPr>
          <w:rFonts w:hint="eastAsia" w:asciiTheme="minorEastAsia" w:hAnsiTheme="minorEastAsia" w:eastAsiaTheme="minorEastAsia" w:cstheme="majorBidi"/>
          <w:b w:val="0"/>
          <w:bCs w:val="0"/>
          <w:szCs w:val="24"/>
          <w:lang w:val="en-US" w:eastAsia="zh-CN" w:bidi="ar-SA"/>
        </w:rPr>
        <w:t>按照“四有好老师”“四个相统一”“四个引路人”的要求建设专业教师队伍，将师德师风作为教师队伍建设的第一标准。</w:t>
      </w:r>
    </w:p>
    <w:p w14:paraId="3C79EB0F">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r>
        <w:rPr>
          <w:rFonts w:hint="eastAsia" w:asciiTheme="minorEastAsia" w:hAnsiTheme="minorEastAsia" w:eastAsiaTheme="minorEastAsia" w:cstheme="majorBidi"/>
          <w:b w:val="0"/>
          <w:bCs w:val="0"/>
          <w:szCs w:val="24"/>
          <w:lang w:val="en-US" w:bidi="ar-SA"/>
        </w:rPr>
        <w:t>1、</w:t>
      </w:r>
      <w:r>
        <w:rPr>
          <w:rFonts w:hint="eastAsia" w:asciiTheme="minorEastAsia" w:hAnsiTheme="minorEastAsia" w:eastAsiaTheme="minorEastAsia" w:cstheme="majorBidi"/>
          <w:b w:val="0"/>
          <w:bCs w:val="0"/>
          <w:szCs w:val="24"/>
          <w:lang w:val="en-US" w:eastAsia="zh-CN" w:bidi="ar-SA"/>
        </w:rPr>
        <w:t>队伍结构</w:t>
      </w:r>
      <w:bookmarkEnd w:id="273"/>
      <w:bookmarkEnd w:id="274"/>
    </w:p>
    <w:p w14:paraId="53810AAC">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 xml:space="preserve">学生数与本专业专任教师数比例不高于 </w:t>
      </w:r>
      <w:r>
        <w:rPr>
          <w:rFonts w:hint="eastAsia" w:ascii="宋体" w:hAnsi="宋体" w:eastAsia="宋体" w:cs="宋体"/>
          <w:sz w:val="24"/>
          <w:szCs w:val="24"/>
          <w:lang w:val="en-US" w:eastAsia="zh-CN"/>
        </w:rPr>
        <w:t>20:</w:t>
      </w:r>
      <w:r>
        <w:rPr>
          <w:rFonts w:hint="eastAsia" w:ascii="宋体" w:hAnsi="宋体" w:eastAsia="宋体" w:cs="宋体"/>
          <w:sz w:val="24"/>
          <w:szCs w:val="24"/>
          <w:lang w:val="en-US"/>
        </w:rPr>
        <w:t>1，双师素质教师占专业教师比例不低</w:t>
      </w:r>
    </w:p>
    <w:p w14:paraId="6B15CB9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于 60%，本专业教师中，</w:t>
      </w:r>
      <w:r>
        <w:rPr>
          <w:rFonts w:hint="eastAsia" w:ascii="宋体" w:hAnsi="宋体" w:eastAsia="宋体" w:cs="宋体"/>
          <w:sz w:val="24"/>
          <w:szCs w:val="24"/>
          <w:lang w:val="en-US" w:eastAsia="zh-CN"/>
        </w:rPr>
        <w:t>高校副教授</w:t>
      </w:r>
      <w:r>
        <w:rPr>
          <w:rFonts w:hint="eastAsia" w:ascii="宋体" w:hAnsi="宋体" w:eastAsia="宋体" w:cs="宋体"/>
          <w:sz w:val="24"/>
          <w:szCs w:val="24"/>
          <w:lang w:val="en-US"/>
        </w:rPr>
        <w:t>11人，占比 61%；讲师2人，占比11%；助理讲师5人，占比28%</w:t>
      </w:r>
      <w:r>
        <w:rPr>
          <w:rFonts w:hint="eastAsia" w:ascii="宋体" w:hAnsi="宋体" w:eastAsia="宋体" w:cs="宋体"/>
          <w:sz w:val="24"/>
          <w:szCs w:val="24"/>
          <w:lang w:val="en-US" w:eastAsia="zh-CN"/>
        </w:rPr>
        <w:t>，</w:t>
      </w:r>
      <w:r>
        <w:rPr>
          <w:rFonts w:hint="eastAsia" w:ascii="宋体" w:hAnsi="宋体" w:eastAsia="宋体" w:cs="宋体"/>
          <w:sz w:val="24"/>
          <w:szCs w:val="24"/>
          <w:lang w:val="en-US"/>
        </w:rPr>
        <w:t>形成合理的可持续发展的梯队。</w:t>
      </w:r>
    </w:p>
    <w:p w14:paraId="52CC54D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w:t>
      </w:r>
      <w:r>
        <w:rPr>
          <w:rFonts w:ascii="宋体" w:hAnsi="宋体" w:eastAsia="宋体" w:cs="宋体"/>
          <w:sz w:val="24"/>
          <w:szCs w:val="24"/>
        </w:rPr>
        <w:t>能够整合校内外优质人才资源，选聘企业高级技术人员担任行业导师，组建校企合作、专兼结合的教师团队，建立定期开展专业（学科）教研机制。</w:t>
      </w:r>
    </w:p>
    <w:p w14:paraId="1B64B91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bookmarkStart w:id="275" w:name="_Toc31883"/>
      <w:bookmarkStart w:id="276" w:name="_Toc14068"/>
      <w:r>
        <w:rPr>
          <w:rFonts w:hint="eastAsia" w:asciiTheme="minorEastAsia" w:hAnsiTheme="minorEastAsia" w:eastAsiaTheme="minorEastAsia" w:cstheme="majorBidi"/>
          <w:b w:val="0"/>
          <w:bCs w:val="0"/>
          <w:szCs w:val="24"/>
          <w:lang w:val="en-US" w:bidi="ar-SA"/>
        </w:rPr>
        <w:t>2、职称结构</w:t>
      </w:r>
      <w:bookmarkEnd w:id="275"/>
      <w:bookmarkEnd w:id="276"/>
    </w:p>
    <w:p w14:paraId="6B8FEDF5">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hint="eastAsia" w:asciiTheme="minorEastAsia" w:hAnsiTheme="minorEastAsia" w:eastAsiaTheme="minorEastAsia" w:cstheme="majorBidi"/>
          <w:b w:val="0"/>
          <w:bCs w:val="0"/>
          <w:szCs w:val="24"/>
          <w:lang w:val="en-US" w:bidi="ar-SA"/>
        </w:rPr>
      </w:pPr>
      <w:bookmarkStart w:id="277" w:name="_Toc16187"/>
      <w:bookmarkStart w:id="278" w:name="_Toc8442"/>
      <w:r>
        <w:rPr>
          <w:rFonts w:hint="eastAsia" w:asciiTheme="minorEastAsia" w:hAnsiTheme="minorEastAsia" w:eastAsiaTheme="minorEastAsia" w:cstheme="majorBidi"/>
          <w:b w:val="0"/>
          <w:bCs w:val="0"/>
          <w:szCs w:val="24"/>
          <w:lang w:val="en-US" w:bidi="ar-SA"/>
        </w:rPr>
        <w:t>本专业教师中，</w:t>
      </w:r>
      <w:r>
        <w:rPr>
          <w:rFonts w:hint="eastAsia" w:asciiTheme="minorEastAsia" w:hAnsiTheme="minorEastAsia" w:eastAsiaTheme="minorEastAsia" w:cstheme="majorBidi"/>
          <w:b w:val="0"/>
          <w:bCs w:val="0"/>
          <w:szCs w:val="24"/>
          <w:lang w:val="en-US" w:eastAsia="zh-CN" w:bidi="ar-SA"/>
        </w:rPr>
        <w:t>高校副教授</w:t>
      </w:r>
      <w:r>
        <w:rPr>
          <w:rFonts w:hint="eastAsia" w:asciiTheme="minorEastAsia" w:hAnsiTheme="minorEastAsia" w:eastAsiaTheme="minorEastAsia" w:cstheme="majorBidi"/>
          <w:b w:val="0"/>
          <w:bCs w:val="0"/>
          <w:szCs w:val="24"/>
          <w:lang w:val="en-US" w:bidi="ar-SA"/>
        </w:rPr>
        <w:t>11人，占比 61%；讲师2人，占比11%；助理讲师5人，占比28%；形成合理的可持续发展的梯队。</w:t>
      </w:r>
      <w:bookmarkEnd w:id="277"/>
      <w:bookmarkEnd w:id="278"/>
    </w:p>
    <w:p w14:paraId="2E57EE8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bookmarkStart w:id="279" w:name="_Toc28326"/>
      <w:bookmarkStart w:id="280" w:name="_Toc28276"/>
      <w:r>
        <w:rPr>
          <w:rFonts w:hint="eastAsia" w:asciiTheme="minorEastAsia" w:hAnsiTheme="minorEastAsia" w:eastAsiaTheme="minorEastAsia" w:cstheme="majorBidi"/>
          <w:b w:val="0"/>
          <w:bCs w:val="0"/>
          <w:szCs w:val="24"/>
          <w:lang w:val="en-US" w:bidi="ar-SA"/>
        </w:rPr>
        <w:t>3、年龄结构</w:t>
      </w:r>
      <w:bookmarkEnd w:id="279"/>
      <w:bookmarkEnd w:id="280"/>
    </w:p>
    <w:p w14:paraId="787917C0">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asciiTheme="minorEastAsia" w:hAnsiTheme="minorEastAsia" w:eastAsiaTheme="minorEastAsia" w:cstheme="majorBidi"/>
          <w:b w:val="0"/>
          <w:bCs w:val="0"/>
          <w:szCs w:val="24"/>
          <w:lang w:val="en-US" w:bidi="ar-SA"/>
        </w:rPr>
      </w:pPr>
      <w:bookmarkStart w:id="281" w:name="_Toc30304"/>
      <w:bookmarkStart w:id="282" w:name="_Toc31833"/>
      <w:r>
        <w:rPr>
          <w:rFonts w:hint="eastAsia" w:asciiTheme="minorEastAsia" w:hAnsiTheme="minorEastAsia" w:eastAsiaTheme="minorEastAsia" w:cstheme="majorBidi"/>
          <w:b w:val="0"/>
          <w:bCs w:val="0"/>
          <w:szCs w:val="24"/>
          <w:lang w:val="en-US" w:bidi="ar-SA"/>
        </w:rPr>
        <w:t>从年龄结构看，45 岁以上的教师 6 人， 35—45岁的教师 7 人，35 岁以下的教师 5 人。全部专任教师均具有企业工作（顶岗实践）经历。可以说是一支年轻有为、年富力强、经验丰富、老中青结合、整体素质优良的师资队伍。</w:t>
      </w:r>
      <w:bookmarkEnd w:id="281"/>
      <w:bookmarkEnd w:id="282"/>
    </w:p>
    <w:p w14:paraId="4C249AF2">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asciiTheme="minorEastAsia" w:hAnsiTheme="minorEastAsia" w:eastAsiaTheme="minorEastAsia" w:cstheme="majorBidi"/>
          <w:b w:val="0"/>
          <w:bCs w:val="0"/>
          <w:szCs w:val="24"/>
          <w:lang w:val="en-US" w:bidi="ar-SA"/>
        </w:rPr>
      </w:pPr>
      <w:bookmarkStart w:id="283" w:name="_Toc24907"/>
      <w:bookmarkStart w:id="284" w:name="_Toc27525"/>
      <w:r>
        <w:rPr>
          <w:rFonts w:hint="eastAsia" w:asciiTheme="minorEastAsia" w:hAnsiTheme="minorEastAsia" w:eastAsiaTheme="minorEastAsia" w:cstheme="majorBidi"/>
          <w:b w:val="0"/>
          <w:bCs w:val="0"/>
          <w:szCs w:val="24"/>
          <w:lang w:val="en-US" w:bidi="ar-SA"/>
        </w:rPr>
        <w:t>4、学科方向</w:t>
      </w:r>
      <w:bookmarkEnd w:id="283"/>
      <w:bookmarkEnd w:id="284"/>
    </w:p>
    <w:p w14:paraId="09BC304D">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hint="default" w:eastAsiaTheme="minorEastAsia"/>
          <w:lang w:val="en-US" w:eastAsia="zh-CN"/>
        </w:rPr>
      </w:pPr>
      <w:bookmarkStart w:id="285" w:name="_Toc15434"/>
      <w:bookmarkStart w:id="286" w:name="_Toc29124"/>
      <w:r>
        <w:rPr>
          <w:rFonts w:hint="eastAsia" w:asciiTheme="minorEastAsia" w:hAnsiTheme="minorEastAsia" w:eastAsiaTheme="minorEastAsia" w:cstheme="majorBidi"/>
          <w:b w:val="0"/>
          <w:bCs w:val="0"/>
          <w:szCs w:val="24"/>
          <w:lang w:val="en-US" w:bidi="ar-SA"/>
        </w:rPr>
        <w:t>专任教师均具备</w:t>
      </w:r>
      <w:r>
        <w:rPr>
          <w:rFonts w:hint="eastAsia" w:asciiTheme="minorEastAsia" w:hAnsiTheme="minorEastAsia" w:eastAsiaTheme="minorEastAsia" w:cstheme="majorBidi"/>
          <w:b w:val="0"/>
          <w:bCs w:val="0"/>
          <w:szCs w:val="24"/>
          <w:lang w:val="en-US" w:eastAsia="zh-CN" w:bidi="ar-SA"/>
        </w:rPr>
        <w:t>现代物业管理</w:t>
      </w:r>
      <w:r>
        <w:rPr>
          <w:rFonts w:hint="eastAsia" w:asciiTheme="minorEastAsia" w:hAnsiTheme="minorEastAsia" w:eastAsiaTheme="minorEastAsia" w:cstheme="majorBidi"/>
          <w:b w:val="0"/>
          <w:bCs w:val="0"/>
          <w:szCs w:val="24"/>
          <w:lang w:val="en-US" w:bidi="ar-SA"/>
        </w:rPr>
        <w:t>学科背景，全部专任教师的学科方向能覆盖</w:t>
      </w:r>
      <w:r>
        <w:rPr>
          <w:rFonts w:hint="eastAsia" w:asciiTheme="minorEastAsia" w:hAnsiTheme="minorEastAsia" w:eastAsiaTheme="minorEastAsia" w:cstheme="majorBidi"/>
          <w:b w:val="0"/>
          <w:bCs w:val="0"/>
          <w:szCs w:val="24"/>
          <w:lang w:val="en-US" w:eastAsia="zh-CN" w:bidi="ar-SA"/>
        </w:rPr>
        <w:t>现代物业管理</w:t>
      </w:r>
      <w:r>
        <w:rPr>
          <w:rFonts w:hint="eastAsia" w:asciiTheme="minorEastAsia" w:hAnsiTheme="minorEastAsia" w:eastAsiaTheme="minorEastAsia" w:cstheme="majorBidi"/>
          <w:b w:val="0"/>
          <w:bCs w:val="0"/>
          <w:szCs w:val="24"/>
          <w:lang w:val="en-US" w:bidi="ar-SA"/>
        </w:rPr>
        <w:t>专业教育教学的全部内容。</w:t>
      </w:r>
      <w:bookmarkEnd w:id="285"/>
      <w:bookmarkEnd w:id="286"/>
    </w:p>
    <w:p w14:paraId="2C226099">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87" w:name="_Toc29838"/>
      <w:r>
        <w:rPr>
          <w:rFonts w:hint="eastAsia" w:asciiTheme="minorEastAsia" w:hAnsiTheme="minorEastAsia" w:eastAsiaTheme="minorEastAsia" w:cstheme="majorBidi"/>
          <w:b w:val="0"/>
          <w:bCs w:val="0"/>
          <w:szCs w:val="24"/>
          <w:lang w:val="en-US" w:bidi="ar-SA"/>
        </w:rPr>
        <w:t>（二）团队建设</w:t>
      </w:r>
      <w:bookmarkEnd w:id="287"/>
    </w:p>
    <w:p w14:paraId="2D8AA64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88" w:name="_Toc11427"/>
      <w:bookmarkStart w:id="289" w:name="_Toc23167"/>
      <w:r>
        <w:rPr>
          <w:rFonts w:hint="eastAsia" w:asciiTheme="minorEastAsia" w:hAnsiTheme="minorEastAsia" w:eastAsiaTheme="minorEastAsia" w:cstheme="majorBidi"/>
          <w:b w:val="0"/>
          <w:bCs w:val="0"/>
          <w:szCs w:val="24"/>
          <w:lang w:val="en-US" w:bidi="ar-SA"/>
        </w:rPr>
        <w:t>以全面提高教师的职业教育能力为中心，以培养熟悉国家、地方物业管理行业标准的教师为重点，鼓励教师到物业服务企业顶岗实践，积累实际工作经历，不断提高实践教学能力。鼓励教师考取物业管理师、智能楼宇管理员等专业资格证书。采取培养与聘请相结合的方式，构建一支学历结构、职称结构、年龄结构合理的"双师型"教师队伍。</w:t>
      </w:r>
      <w:bookmarkEnd w:id="288"/>
      <w:bookmarkEnd w:id="289"/>
    </w:p>
    <w:p w14:paraId="5F9DF31A">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bookmarkStart w:id="290" w:name="_Toc4385"/>
      <w:bookmarkStart w:id="291" w:name="_Toc12167"/>
      <w:r>
        <w:rPr>
          <w:rFonts w:hint="eastAsia" w:asciiTheme="minorEastAsia" w:hAnsiTheme="minorEastAsia" w:eastAsiaTheme="minorEastAsia" w:cstheme="majorBidi"/>
          <w:b w:val="0"/>
          <w:bCs w:val="0"/>
          <w:szCs w:val="24"/>
          <w:lang w:val="en-US" w:bidi="ar-SA"/>
        </w:rPr>
        <w:t>1.专任教师</w:t>
      </w:r>
      <w:bookmarkEnd w:id="290"/>
      <w:bookmarkEnd w:id="291"/>
    </w:p>
    <w:p w14:paraId="63A6FF7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hint="eastAsia" w:asciiTheme="minorEastAsia" w:hAnsiTheme="minorEastAsia" w:eastAsiaTheme="minorEastAsia" w:cstheme="majorBidi"/>
          <w:b w:val="0"/>
          <w:bCs w:val="0"/>
          <w:szCs w:val="24"/>
          <w:lang w:val="en-US" w:bidi="ar-SA"/>
        </w:rPr>
      </w:pPr>
      <w:bookmarkStart w:id="292" w:name="_Toc8196"/>
      <w:bookmarkStart w:id="293" w:name="_Toc13764"/>
      <w:r>
        <w:rPr>
          <w:rFonts w:hint="eastAsia" w:asciiTheme="minorEastAsia" w:hAnsiTheme="minorEastAsia" w:eastAsiaTheme="minorEastAsia" w:cstheme="majorBidi"/>
          <w:b w:val="0"/>
          <w:bCs w:val="0"/>
          <w:szCs w:val="24"/>
          <w:lang w:val="en-US" w:bidi="ar-SA"/>
        </w:rPr>
        <w:t>具有高校教师资格和物业管理相关职业资格证书；有理想信念、有道德情操、有扎实学识、有仁爱之心；具有物业管理、建筑设备工程、房地产经济、信息技术等相关专业本科及以上学历；具有扎实的物业管理相关理论功底和实践能力；具有较强的信息化教学能力，能够开展课程教学改革和科学研究；每5年累计不少于6个月的物业服务企业实践经历。</w:t>
      </w:r>
      <w:bookmarkEnd w:id="292"/>
      <w:bookmarkEnd w:id="293"/>
    </w:p>
    <w:p w14:paraId="0387DA1C">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bookmarkStart w:id="294" w:name="_Toc3516"/>
      <w:bookmarkStart w:id="295" w:name="_Toc10354"/>
      <w:r>
        <w:rPr>
          <w:rFonts w:hint="eastAsia" w:asciiTheme="minorEastAsia" w:hAnsiTheme="minorEastAsia" w:eastAsiaTheme="minorEastAsia" w:cstheme="majorBidi"/>
          <w:b w:val="0"/>
          <w:bCs w:val="0"/>
          <w:szCs w:val="24"/>
          <w:lang w:val="en-US" w:bidi="ar-SA"/>
        </w:rPr>
        <w:t>2.专业带头人</w:t>
      </w:r>
      <w:bookmarkEnd w:id="294"/>
      <w:bookmarkEnd w:id="295"/>
    </w:p>
    <w:p w14:paraId="4A08D25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hint="eastAsia" w:asciiTheme="minorEastAsia" w:hAnsiTheme="minorEastAsia" w:eastAsiaTheme="minorEastAsia" w:cstheme="majorBidi"/>
          <w:b w:val="0"/>
          <w:bCs w:val="0"/>
          <w:szCs w:val="24"/>
          <w:lang w:val="en-US" w:bidi="ar-SA"/>
        </w:rPr>
      </w:pPr>
      <w:bookmarkStart w:id="296" w:name="_Toc16407"/>
      <w:bookmarkStart w:id="297" w:name="_Toc18167"/>
      <w:r>
        <w:rPr>
          <w:rFonts w:hint="eastAsia" w:asciiTheme="minorEastAsia" w:hAnsiTheme="minorEastAsia" w:eastAsiaTheme="minorEastAsia" w:cstheme="majorBidi"/>
          <w:b w:val="0"/>
          <w:bCs w:val="0"/>
          <w:szCs w:val="24"/>
          <w:lang w:val="en-US" w:bidi="ar-SA"/>
        </w:rPr>
        <w:t>专业带头人具有副高级职称，能够较好地把握国内外物业管理行业、专业发展，能主动对接物业服务企业，了解行业企业对物业管理人才的实际需求，牵头组织开展教科研工作能力强，在本区域或本专业领域有一定的影响力。</w:t>
      </w:r>
      <w:bookmarkEnd w:id="296"/>
      <w:bookmarkEnd w:id="297"/>
    </w:p>
    <w:p w14:paraId="5E186181">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98" w:name="_Toc13770"/>
      <w:bookmarkStart w:id="299" w:name="_Toc5199"/>
      <w:r>
        <w:rPr>
          <w:rFonts w:hint="eastAsia" w:asciiTheme="minorEastAsia" w:hAnsiTheme="minorEastAsia" w:eastAsiaTheme="minorEastAsia" w:cstheme="majorBidi"/>
          <w:b w:val="0"/>
          <w:bCs w:val="0"/>
          <w:szCs w:val="24"/>
          <w:lang w:val="en-US" w:bidi="ar-SA"/>
        </w:rPr>
        <w:t>3.兼职教师</w:t>
      </w:r>
      <w:bookmarkEnd w:id="298"/>
      <w:bookmarkEnd w:id="299"/>
    </w:p>
    <w:p w14:paraId="2119653F">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cstheme="majorBidi"/>
          <w:b w:val="0"/>
          <w:bCs w:val="0"/>
          <w:sz w:val="24"/>
          <w:szCs w:val="24"/>
          <w:lang w:val="en-US" w:eastAsia="zh-CN" w:bidi="ar-SA"/>
        </w:rPr>
      </w:pPr>
      <w:bookmarkStart w:id="300" w:name="_Toc103289813"/>
      <w:bookmarkStart w:id="301" w:name="_Toc103696826"/>
      <w:r>
        <w:rPr>
          <w:rFonts w:hint="eastAsia" w:asciiTheme="minorEastAsia" w:hAnsiTheme="minorEastAsia" w:eastAsiaTheme="minorEastAsia" w:cstheme="majorBidi"/>
          <w:b w:val="0"/>
          <w:bCs w:val="0"/>
          <w:sz w:val="24"/>
          <w:szCs w:val="24"/>
          <w:lang w:val="en-US" w:eastAsia="zh-CN" w:bidi="ar-SA"/>
        </w:rPr>
        <w:t>兼职教师主要从物业服务企业聘任，具备良好的思想政治素质、职业道德和工匠精神，具有扎实的物业管理专业知识和丰富的实际工作经验，具有中级及以上相关专业职称，能承担专业课程教学、实习实训指导和学生职业发展规划指导等教学任务。</w:t>
      </w:r>
    </w:p>
    <w:p w14:paraId="3962376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Theme="minorEastAsia" w:hAnsiTheme="minorEastAsia" w:eastAsiaTheme="minorEastAsia" w:cstheme="majorBidi"/>
          <w:b w:val="0"/>
          <w:bCs w:val="0"/>
          <w:sz w:val="24"/>
          <w:szCs w:val="24"/>
          <w:lang w:val="en-US" w:eastAsia="zh-CN" w:bidi="ar-SA"/>
        </w:rPr>
      </w:pPr>
      <w:bookmarkStart w:id="302" w:name="_Toc15292"/>
      <w:r>
        <w:rPr>
          <w:rFonts w:hint="eastAsia" w:asciiTheme="minorEastAsia" w:hAnsiTheme="minorEastAsia" w:eastAsiaTheme="minorEastAsia" w:cstheme="majorBidi"/>
          <w:b w:val="0"/>
          <w:bCs w:val="0"/>
          <w:sz w:val="24"/>
          <w:szCs w:val="24"/>
          <w:lang w:val="en-US" w:eastAsia="zh-CN" w:bidi="ar-SA"/>
        </w:rPr>
        <w:t>（三）教学设施</w:t>
      </w:r>
      <w:bookmarkEnd w:id="300"/>
      <w:bookmarkEnd w:id="301"/>
      <w:bookmarkEnd w:id="302"/>
    </w:p>
    <w:p w14:paraId="0CED90AD">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hint="eastAsia" w:asciiTheme="minorEastAsia" w:hAnsiTheme="minorEastAsia" w:eastAsiaTheme="minorEastAsia" w:cstheme="majorBidi"/>
          <w:b w:val="0"/>
          <w:bCs w:val="0"/>
          <w:sz w:val="24"/>
          <w:szCs w:val="24"/>
          <w:lang w:val="en-US" w:eastAsia="zh-CN" w:bidi="ar-SA"/>
        </w:rPr>
      </w:pPr>
      <w:bookmarkStart w:id="303" w:name="_Toc24060"/>
      <w:r>
        <w:rPr>
          <w:rFonts w:hint="eastAsia" w:asciiTheme="minorEastAsia" w:hAnsiTheme="minorEastAsia" w:eastAsiaTheme="minorEastAsia" w:cstheme="majorBidi"/>
          <w:b w:val="0"/>
          <w:bCs w:val="0"/>
          <w:sz w:val="24"/>
          <w:szCs w:val="24"/>
          <w:lang w:val="en-US" w:eastAsia="zh-CN" w:bidi="ar-SA"/>
        </w:rPr>
        <w:t>1.具备的专业教室条件</w:t>
      </w:r>
      <w:bookmarkEnd w:id="303"/>
    </w:p>
    <w:p w14:paraId="73CCE874">
      <w:pPr>
        <w:pStyle w:val="4"/>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cstheme="majorBidi"/>
          <w:sz w:val="24"/>
          <w:szCs w:val="24"/>
          <w:lang w:val="en-US" w:bidi="ar-SA"/>
        </w:rPr>
      </w:pPr>
      <w:r>
        <w:rPr>
          <w:rFonts w:asciiTheme="minorEastAsia" w:hAnsiTheme="minorEastAsia" w:eastAsiaTheme="minorEastAsia" w:cstheme="majorBidi"/>
          <w:sz w:val="24"/>
          <w:szCs w:val="24"/>
          <w:lang w:val="en-US" w:bidi="ar-SA"/>
        </w:rPr>
        <w:t>每个教学班均配备黑（白）板、多媒体计算机、投影设备、</w:t>
      </w:r>
      <w:r>
        <w:rPr>
          <w:rFonts w:hint="eastAsia" w:asciiTheme="minorEastAsia" w:hAnsiTheme="minorEastAsia" w:eastAsiaTheme="minorEastAsia" w:cstheme="majorBidi"/>
          <w:sz w:val="24"/>
          <w:szCs w:val="24"/>
          <w:lang w:val="en-US" w:eastAsia="zh-CN" w:bidi="ar-SA"/>
        </w:rPr>
        <w:t>音像</w:t>
      </w:r>
      <w:r>
        <w:rPr>
          <w:rFonts w:asciiTheme="minorEastAsia" w:hAnsiTheme="minorEastAsia" w:eastAsiaTheme="minorEastAsia" w:cstheme="majorBidi"/>
          <w:sz w:val="24"/>
          <w:szCs w:val="24"/>
          <w:lang w:val="en-US" w:bidi="ar-SA"/>
        </w:rPr>
        <w:t xml:space="preserve">设备，互联网接入或 </w:t>
      </w:r>
      <w:r>
        <w:rPr>
          <w:rFonts w:hint="eastAsia" w:asciiTheme="minorEastAsia" w:hAnsiTheme="minorEastAsia" w:eastAsiaTheme="minorEastAsia" w:cstheme="majorBidi"/>
          <w:sz w:val="24"/>
          <w:szCs w:val="24"/>
          <w:lang w:val="en-US" w:eastAsia="zh-CN" w:bidi="ar-SA"/>
        </w:rPr>
        <w:t>Wi-Fi</w:t>
      </w:r>
      <w:r>
        <w:rPr>
          <w:rFonts w:asciiTheme="minorEastAsia" w:hAnsiTheme="minorEastAsia" w:eastAsiaTheme="minorEastAsia" w:cstheme="majorBidi"/>
          <w:sz w:val="24"/>
          <w:szCs w:val="24"/>
          <w:lang w:val="en-US" w:bidi="ar-SA"/>
        </w:rPr>
        <w:t xml:space="preserve"> 环境，并具有网络安全防护措施。安装应急照明装置并保持良好状态，符合紧急疏散要求、标志明显、保持逃生通道畅通无阻。</w:t>
      </w:r>
    </w:p>
    <w:p w14:paraId="62FF2DEB">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sz w:val="24"/>
          <w:szCs w:val="24"/>
        </w:rPr>
      </w:pPr>
      <w:bookmarkStart w:id="304" w:name="_Toc103289814"/>
      <w:r>
        <w:rPr>
          <w:rFonts w:hint="eastAsia" w:asciiTheme="minorEastAsia" w:hAnsiTheme="minorEastAsia" w:eastAsiaTheme="minorEastAsia"/>
          <w:sz w:val="24"/>
          <w:szCs w:val="24"/>
        </w:rPr>
        <w:t>2.本专业校内实训室条件</w:t>
      </w:r>
      <w:bookmarkEnd w:id="304"/>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090"/>
        <w:gridCol w:w="715"/>
        <w:gridCol w:w="2597"/>
        <w:gridCol w:w="2331"/>
        <w:gridCol w:w="791"/>
        <w:gridCol w:w="1558"/>
      </w:tblGrid>
      <w:tr w14:paraId="10BC4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89" w:hRule="atLeast"/>
          <w:tblHeader/>
        </w:trPr>
        <w:tc>
          <w:tcPr>
            <w:tcW w:w="1090" w:type="dxa"/>
            <w:vMerge w:val="restart"/>
            <w:shd w:val="clear" w:color="auto" w:fill="FFFFFF"/>
            <w:tcMar>
              <w:top w:w="120" w:type="dxa"/>
              <w:left w:w="0" w:type="dxa"/>
              <w:bottom w:w="120" w:type="dxa"/>
              <w:right w:w="120" w:type="dxa"/>
            </w:tcMar>
            <w:vAlign w:val="center"/>
          </w:tcPr>
          <w:p w14:paraId="1CDAF2D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校内实</w:t>
            </w:r>
          </w:p>
          <w:p w14:paraId="76E38BA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训基地</w:t>
            </w:r>
          </w:p>
          <w:p w14:paraId="52D170D9">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主要专</w:t>
            </w:r>
          </w:p>
          <w:p w14:paraId="5811A96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业仪器</w:t>
            </w:r>
          </w:p>
          <w:p w14:paraId="3CA963A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设备装</w:t>
            </w:r>
          </w:p>
          <w:p w14:paraId="60DDBC5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r>
              <w:rPr>
                <w:rFonts w:hint="eastAsia"/>
                <w:b/>
                <w:sz w:val="18"/>
                <w:szCs w:val="18"/>
              </w:rPr>
              <w:t>备情况</w:t>
            </w:r>
          </w:p>
        </w:tc>
        <w:tc>
          <w:tcPr>
            <w:tcW w:w="715" w:type="dxa"/>
            <w:shd w:val="clear" w:color="auto" w:fill="FFFFFF"/>
            <w:tcMar>
              <w:top w:w="120" w:type="dxa"/>
              <w:left w:w="0" w:type="dxa"/>
              <w:bottom w:w="120" w:type="dxa"/>
              <w:right w:w="120" w:type="dxa"/>
            </w:tcMar>
            <w:vAlign w:val="center"/>
          </w:tcPr>
          <w:p w14:paraId="55F4E01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default"/>
                <w:b/>
                <w:sz w:val="18"/>
                <w:szCs w:val="18"/>
                <w:lang w:val="en-US" w:eastAsia="zh-CN"/>
              </w:rPr>
              <w:t>序号</w:t>
            </w:r>
          </w:p>
        </w:tc>
        <w:tc>
          <w:tcPr>
            <w:tcW w:w="2597" w:type="dxa"/>
            <w:shd w:val="clear" w:color="auto" w:fill="FFFFFF"/>
            <w:tcMar>
              <w:top w:w="120" w:type="dxa"/>
              <w:left w:w="120" w:type="dxa"/>
              <w:bottom w:w="120" w:type="dxa"/>
              <w:right w:w="120" w:type="dxa"/>
            </w:tcMar>
            <w:vAlign w:val="center"/>
          </w:tcPr>
          <w:p w14:paraId="78CE768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b/>
                <w:sz w:val="18"/>
                <w:szCs w:val="18"/>
              </w:rPr>
            </w:pPr>
            <w:r>
              <w:rPr>
                <w:rFonts w:hint="default"/>
                <w:b/>
                <w:sz w:val="18"/>
                <w:szCs w:val="18"/>
                <w:lang w:val="en-US" w:eastAsia="zh-CN"/>
              </w:rPr>
              <w:t>设备名称</w:t>
            </w:r>
          </w:p>
        </w:tc>
        <w:tc>
          <w:tcPr>
            <w:tcW w:w="2331" w:type="dxa"/>
            <w:shd w:val="clear" w:color="auto" w:fill="FFFFFF"/>
            <w:tcMar>
              <w:top w:w="120" w:type="dxa"/>
              <w:left w:w="120" w:type="dxa"/>
              <w:bottom w:w="120" w:type="dxa"/>
              <w:right w:w="120" w:type="dxa"/>
            </w:tcMar>
            <w:vAlign w:val="center"/>
          </w:tcPr>
          <w:p w14:paraId="13D5CBCA">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b/>
                <w:sz w:val="18"/>
                <w:szCs w:val="18"/>
              </w:rPr>
            </w:pPr>
            <w:r>
              <w:rPr>
                <w:rFonts w:hint="default"/>
                <w:b/>
                <w:sz w:val="18"/>
                <w:szCs w:val="18"/>
                <w:lang w:val="en-US" w:eastAsia="zh-CN"/>
              </w:rPr>
              <w:t>型号/规格</w:t>
            </w:r>
          </w:p>
        </w:tc>
        <w:tc>
          <w:tcPr>
            <w:tcW w:w="791" w:type="dxa"/>
            <w:shd w:val="clear" w:color="auto" w:fill="FFFFFF"/>
            <w:tcMar>
              <w:top w:w="120" w:type="dxa"/>
              <w:left w:w="120" w:type="dxa"/>
              <w:bottom w:w="120" w:type="dxa"/>
              <w:right w:w="120" w:type="dxa"/>
            </w:tcMar>
            <w:vAlign w:val="center"/>
          </w:tcPr>
          <w:p w14:paraId="4B8ABAF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b/>
                <w:sz w:val="18"/>
                <w:szCs w:val="18"/>
              </w:rPr>
            </w:pPr>
            <w:r>
              <w:rPr>
                <w:rFonts w:hint="default"/>
                <w:b/>
                <w:sz w:val="18"/>
                <w:szCs w:val="18"/>
                <w:lang w:val="en-US" w:eastAsia="zh-CN"/>
              </w:rPr>
              <w:t>数量</w:t>
            </w:r>
          </w:p>
        </w:tc>
        <w:tc>
          <w:tcPr>
            <w:tcW w:w="1558" w:type="dxa"/>
            <w:shd w:val="clear" w:color="auto" w:fill="FFFFFF"/>
            <w:tcMar>
              <w:top w:w="120" w:type="dxa"/>
              <w:left w:w="120" w:type="dxa"/>
              <w:bottom w:w="120" w:type="dxa"/>
              <w:right w:w="120" w:type="dxa"/>
            </w:tcMar>
            <w:vAlign w:val="center"/>
          </w:tcPr>
          <w:p w14:paraId="7791301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b/>
                <w:sz w:val="18"/>
                <w:szCs w:val="18"/>
              </w:rPr>
            </w:pPr>
            <w:r>
              <w:rPr>
                <w:rFonts w:hint="default"/>
                <w:b/>
                <w:sz w:val="18"/>
                <w:szCs w:val="18"/>
                <w:lang w:val="en-US" w:eastAsia="zh-CN"/>
              </w:rPr>
              <w:t>购入时间</w:t>
            </w:r>
          </w:p>
        </w:tc>
      </w:tr>
      <w:tr w14:paraId="2E443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248A329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2369532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w:t>
            </w:r>
          </w:p>
        </w:tc>
        <w:tc>
          <w:tcPr>
            <w:tcW w:w="2597" w:type="dxa"/>
            <w:shd w:val="clear" w:color="auto" w:fill="FFFFFF"/>
            <w:tcMar>
              <w:top w:w="120" w:type="dxa"/>
              <w:left w:w="120" w:type="dxa"/>
              <w:bottom w:w="120" w:type="dxa"/>
              <w:right w:w="120" w:type="dxa"/>
            </w:tcMar>
            <w:vAlign w:val="center"/>
          </w:tcPr>
          <w:p w14:paraId="2CF198E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智慧物业管理系统实训平台</w:t>
            </w:r>
          </w:p>
        </w:tc>
        <w:tc>
          <w:tcPr>
            <w:tcW w:w="2331" w:type="dxa"/>
            <w:shd w:val="clear" w:color="auto" w:fill="FFFFFF"/>
            <w:tcMar>
              <w:top w:w="120" w:type="dxa"/>
              <w:left w:w="120" w:type="dxa"/>
              <w:bottom w:w="120" w:type="dxa"/>
              <w:right w:w="120" w:type="dxa"/>
            </w:tcMar>
            <w:vAlign w:val="center"/>
          </w:tcPr>
          <w:p w14:paraId="4F4DE59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万科物业/碧桂园服务系统</w:t>
            </w:r>
          </w:p>
        </w:tc>
        <w:tc>
          <w:tcPr>
            <w:tcW w:w="791" w:type="dxa"/>
            <w:shd w:val="clear" w:color="auto" w:fill="FFFFFF"/>
            <w:tcMar>
              <w:top w:w="120" w:type="dxa"/>
              <w:left w:w="120" w:type="dxa"/>
              <w:bottom w:w="120" w:type="dxa"/>
              <w:right w:w="120" w:type="dxa"/>
            </w:tcMar>
            <w:vAlign w:val="center"/>
          </w:tcPr>
          <w:p w14:paraId="321877B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6套</w:t>
            </w:r>
          </w:p>
        </w:tc>
        <w:tc>
          <w:tcPr>
            <w:tcW w:w="1558" w:type="dxa"/>
            <w:shd w:val="clear" w:color="auto" w:fill="FFFFFF"/>
            <w:tcMar>
              <w:top w:w="120" w:type="dxa"/>
              <w:left w:w="120" w:type="dxa"/>
              <w:bottom w:w="120" w:type="dxa"/>
              <w:right w:w="120" w:type="dxa"/>
            </w:tcMar>
            <w:vAlign w:val="center"/>
          </w:tcPr>
          <w:p w14:paraId="004B7E5A">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2020、2021</w:t>
            </w:r>
          </w:p>
        </w:tc>
      </w:tr>
      <w:tr w14:paraId="2D0CE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2052E74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471B140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w:t>
            </w:r>
          </w:p>
        </w:tc>
        <w:tc>
          <w:tcPr>
            <w:tcW w:w="2597" w:type="dxa"/>
            <w:shd w:val="clear" w:color="auto" w:fill="FFFFFF"/>
            <w:tcMar>
              <w:top w:w="120" w:type="dxa"/>
              <w:left w:w="120" w:type="dxa"/>
              <w:bottom w:w="120" w:type="dxa"/>
              <w:right w:w="120" w:type="dxa"/>
            </w:tcMar>
            <w:vAlign w:val="center"/>
          </w:tcPr>
          <w:p w14:paraId="60E5390A">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楼宇设备运维实训装置</w:t>
            </w:r>
          </w:p>
        </w:tc>
        <w:tc>
          <w:tcPr>
            <w:tcW w:w="2331" w:type="dxa"/>
            <w:shd w:val="clear" w:color="auto" w:fill="FFFFFF"/>
            <w:tcMar>
              <w:top w:w="120" w:type="dxa"/>
              <w:left w:w="120" w:type="dxa"/>
              <w:bottom w:w="120" w:type="dxa"/>
              <w:right w:w="120" w:type="dxa"/>
            </w:tcMar>
            <w:vAlign w:val="center"/>
          </w:tcPr>
          <w:p w14:paraId="325ED49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THPWSD-物业型</w:t>
            </w:r>
          </w:p>
        </w:tc>
        <w:tc>
          <w:tcPr>
            <w:tcW w:w="791" w:type="dxa"/>
            <w:shd w:val="clear" w:color="auto" w:fill="FFFFFF"/>
            <w:tcMar>
              <w:top w:w="120" w:type="dxa"/>
              <w:left w:w="120" w:type="dxa"/>
              <w:bottom w:w="120" w:type="dxa"/>
              <w:right w:w="120" w:type="dxa"/>
            </w:tcMar>
            <w:vAlign w:val="center"/>
          </w:tcPr>
          <w:p w14:paraId="720D0A10">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4台</w:t>
            </w:r>
          </w:p>
        </w:tc>
        <w:tc>
          <w:tcPr>
            <w:tcW w:w="1558" w:type="dxa"/>
            <w:shd w:val="clear" w:color="auto" w:fill="FFFFFF"/>
            <w:tcMar>
              <w:top w:w="120" w:type="dxa"/>
              <w:left w:w="120" w:type="dxa"/>
              <w:bottom w:w="120" w:type="dxa"/>
              <w:right w:w="120" w:type="dxa"/>
            </w:tcMar>
            <w:vAlign w:val="center"/>
          </w:tcPr>
          <w:p w14:paraId="596D806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2021</w:t>
            </w:r>
          </w:p>
        </w:tc>
      </w:tr>
      <w:tr w14:paraId="0092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7E65C71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1A0141A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3</w:t>
            </w:r>
          </w:p>
        </w:tc>
        <w:tc>
          <w:tcPr>
            <w:tcW w:w="2597" w:type="dxa"/>
            <w:shd w:val="clear" w:color="auto" w:fill="FFFFFF"/>
            <w:tcMar>
              <w:top w:w="120" w:type="dxa"/>
              <w:left w:w="120" w:type="dxa"/>
              <w:bottom w:w="120" w:type="dxa"/>
              <w:right w:w="120" w:type="dxa"/>
            </w:tcMar>
            <w:vAlign w:val="center"/>
          </w:tcPr>
          <w:p w14:paraId="50344419">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智能安防监控实训系统</w:t>
            </w:r>
          </w:p>
        </w:tc>
        <w:tc>
          <w:tcPr>
            <w:tcW w:w="2331" w:type="dxa"/>
            <w:shd w:val="clear" w:color="auto" w:fill="FFFFFF"/>
            <w:tcMar>
              <w:top w:w="120" w:type="dxa"/>
              <w:left w:w="120" w:type="dxa"/>
              <w:bottom w:w="120" w:type="dxa"/>
              <w:right w:w="120" w:type="dxa"/>
            </w:tcMar>
            <w:vAlign w:val="center"/>
          </w:tcPr>
          <w:p w14:paraId="66A3CD3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海康威视物业专用</w:t>
            </w:r>
          </w:p>
        </w:tc>
        <w:tc>
          <w:tcPr>
            <w:tcW w:w="791" w:type="dxa"/>
            <w:shd w:val="clear" w:color="auto" w:fill="FFFFFF"/>
            <w:tcMar>
              <w:top w:w="120" w:type="dxa"/>
              <w:left w:w="120" w:type="dxa"/>
              <w:bottom w:w="120" w:type="dxa"/>
              <w:right w:w="120" w:type="dxa"/>
            </w:tcMar>
            <w:vAlign w:val="center"/>
          </w:tcPr>
          <w:p w14:paraId="65FF282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2套</w:t>
            </w:r>
          </w:p>
        </w:tc>
        <w:tc>
          <w:tcPr>
            <w:tcW w:w="1558" w:type="dxa"/>
            <w:shd w:val="clear" w:color="auto" w:fill="FFFFFF"/>
            <w:tcMar>
              <w:top w:w="120" w:type="dxa"/>
              <w:left w:w="120" w:type="dxa"/>
              <w:bottom w:w="120" w:type="dxa"/>
              <w:right w:w="120" w:type="dxa"/>
            </w:tcMar>
            <w:vAlign w:val="center"/>
          </w:tcPr>
          <w:p w14:paraId="2F298F5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2020</w:t>
            </w:r>
          </w:p>
        </w:tc>
      </w:tr>
      <w:tr w14:paraId="3B08F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108A94D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5AA5F9C0">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4</w:t>
            </w:r>
          </w:p>
        </w:tc>
        <w:tc>
          <w:tcPr>
            <w:tcW w:w="2597" w:type="dxa"/>
            <w:shd w:val="clear" w:color="auto" w:fill="FFFFFF"/>
            <w:tcMar>
              <w:top w:w="120" w:type="dxa"/>
              <w:left w:w="120" w:type="dxa"/>
              <w:bottom w:w="120" w:type="dxa"/>
              <w:right w:w="120" w:type="dxa"/>
            </w:tcMar>
            <w:vAlign w:val="center"/>
          </w:tcPr>
          <w:p w14:paraId="66D7839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消防设施操作实训室</w:t>
            </w:r>
          </w:p>
        </w:tc>
        <w:tc>
          <w:tcPr>
            <w:tcW w:w="2331" w:type="dxa"/>
            <w:shd w:val="clear" w:color="auto" w:fill="FFFFFF"/>
            <w:tcMar>
              <w:top w:w="120" w:type="dxa"/>
              <w:left w:w="120" w:type="dxa"/>
              <w:bottom w:w="120" w:type="dxa"/>
              <w:right w:w="120" w:type="dxa"/>
            </w:tcMar>
            <w:vAlign w:val="center"/>
          </w:tcPr>
          <w:p w14:paraId="06A06F4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北大青鸟物业消防系统</w:t>
            </w:r>
          </w:p>
        </w:tc>
        <w:tc>
          <w:tcPr>
            <w:tcW w:w="791" w:type="dxa"/>
            <w:shd w:val="clear" w:color="auto" w:fill="FFFFFF"/>
            <w:tcMar>
              <w:top w:w="120" w:type="dxa"/>
              <w:left w:w="120" w:type="dxa"/>
              <w:bottom w:w="120" w:type="dxa"/>
              <w:right w:w="120" w:type="dxa"/>
            </w:tcMar>
            <w:vAlign w:val="center"/>
          </w:tcPr>
          <w:p w14:paraId="191D559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1间</w:t>
            </w:r>
          </w:p>
        </w:tc>
        <w:tc>
          <w:tcPr>
            <w:tcW w:w="1558" w:type="dxa"/>
            <w:shd w:val="clear" w:color="auto" w:fill="FFFFFF"/>
            <w:tcMar>
              <w:top w:w="120" w:type="dxa"/>
              <w:left w:w="120" w:type="dxa"/>
              <w:bottom w:w="120" w:type="dxa"/>
              <w:right w:w="120" w:type="dxa"/>
            </w:tcMar>
            <w:vAlign w:val="center"/>
          </w:tcPr>
          <w:p w14:paraId="74820E8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2021</w:t>
            </w:r>
          </w:p>
        </w:tc>
      </w:tr>
      <w:tr w14:paraId="5C3FD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3ED47B2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79A4A65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5</w:t>
            </w:r>
          </w:p>
        </w:tc>
        <w:tc>
          <w:tcPr>
            <w:tcW w:w="2597" w:type="dxa"/>
            <w:shd w:val="clear" w:color="auto" w:fill="FFFFFF"/>
            <w:tcMar>
              <w:top w:w="120" w:type="dxa"/>
              <w:left w:w="120" w:type="dxa"/>
              <w:bottom w:w="120" w:type="dxa"/>
              <w:right w:w="120" w:type="dxa"/>
            </w:tcMar>
            <w:vAlign w:val="center"/>
          </w:tcPr>
          <w:p w14:paraId="0B4E7D6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物业机电设备实训室</w:t>
            </w:r>
          </w:p>
        </w:tc>
        <w:tc>
          <w:tcPr>
            <w:tcW w:w="2331" w:type="dxa"/>
            <w:shd w:val="clear" w:color="auto" w:fill="FFFFFF"/>
            <w:tcMar>
              <w:top w:w="120" w:type="dxa"/>
              <w:left w:w="120" w:type="dxa"/>
              <w:bottom w:w="120" w:type="dxa"/>
              <w:right w:w="120" w:type="dxa"/>
            </w:tcMar>
            <w:vAlign w:val="center"/>
          </w:tcPr>
          <w:p w14:paraId="2D7EFB73">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包含电梯/给排水/供配电</w:t>
            </w:r>
          </w:p>
        </w:tc>
        <w:tc>
          <w:tcPr>
            <w:tcW w:w="791" w:type="dxa"/>
            <w:shd w:val="clear" w:color="auto" w:fill="FFFFFF"/>
            <w:tcMar>
              <w:top w:w="120" w:type="dxa"/>
              <w:left w:w="120" w:type="dxa"/>
              <w:bottom w:w="120" w:type="dxa"/>
              <w:right w:w="120" w:type="dxa"/>
            </w:tcMar>
            <w:vAlign w:val="center"/>
          </w:tcPr>
          <w:p w14:paraId="63629FE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1间</w:t>
            </w:r>
          </w:p>
        </w:tc>
        <w:tc>
          <w:tcPr>
            <w:tcW w:w="1558" w:type="dxa"/>
            <w:shd w:val="clear" w:color="auto" w:fill="FFFFFF"/>
            <w:tcMar>
              <w:top w:w="120" w:type="dxa"/>
              <w:left w:w="120" w:type="dxa"/>
              <w:bottom w:w="120" w:type="dxa"/>
              <w:right w:w="120" w:type="dxa"/>
            </w:tcMar>
            <w:vAlign w:val="center"/>
          </w:tcPr>
          <w:p w14:paraId="330AE28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2020</w:t>
            </w:r>
          </w:p>
        </w:tc>
      </w:tr>
      <w:tr w14:paraId="24EC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67A064C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7141092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6</w:t>
            </w:r>
          </w:p>
        </w:tc>
        <w:tc>
          <w:tcPr>
            <w:tcW w:w="2597" w:type="dxa"/>
            <w:shd w:val="clear" w:color="auto" w:fill="FFFFFF"/>
            <w:tcMar>
              <w:top w:w="120" w:type="dxa"/>
              <w:left w:w="120" w:type="dxa"/>
              <w:bottom w:w="120" w:type="dxa"/>
              <w:right w:w="120" w:type="dxa"/>
            </w:tcMar>
            <w:vAlign w:val="center"/>
          </w:tcPr>
          <w:p w14:paraId="0549951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物业客户服务模拟实训室</w:t>
            </w:r>
          </w:p>
        </w:tc>
        <w:tc>
          <w:tcPr>
            <w:tcW w:w="2331" w:type="dxa"/>
            <w:shd w:val="clear" w:color="auto" w:fill="FFFFFF"/>
            <w:tcMar>
              <w:top w:w="120" w:type="dxa"/>
              <w:left w:w="120" w:type="dxa"/>
              <w:bottom w:w="120" w:type="dxa"/>
              <w:right w:w="120" w:type="dxa"/>
            </w:tcMar>
            <w:vAlign w:val="center"/>
          </w:tcPr>
          <w:p w14:paraId="7EB2ED0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智能客服机器人系统</w:t>
            </w:r>
          </w:p>
        </w:tc>
        <w:tc>
          <w:tcPr>
            <w:tcW w:w="791" w:type="dxa"/>
            <w:shd w:val="clear" w:color="auto" w:fill="FFFFFF"/>
            <w:tcMar>
              <w:top w:w="120" w:type="dxa"/>
              <w:left w:w="120" w:type="dxa"/>
              <w:bottom w:w="120" w:type="dxa"/>
              <w:right w:w="120" w:type="dxa"/>
            </w:tcMar>
            <w:vAlign w:val="center"/>
          </w:tcPr>
          <w:p w14:paraId="5185A4B0">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2间</w:t>
            </w:r>
          </w:p>
        </w:tc>
        <w:tc>
          <w:tcPr>
            <w:tcW w:w="1558" w:type="dxa"/>
            <w:shd w:val="clear" w:color="auto" w:fill="FFFFFF"/>
            <w:tcMar>
              <w:top w:w="120" w:type="dxa"/>
              <w:left w:w="120" w:type="dxa"/>
              <w:bottom w:w="120" w:type="dxa"/>
              <w:right w:w="120" w:type="dxa"/>
            </w:tcMar>
            <w:vAlign w:val="center"/>
          </w:tcPr>
          <w:p w14:paraId="663CACE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2022</w:t>
            </w:r>
          </w:p>
        </w:tc>
      </w:tr>
      <w:tr w14:paraId="079A5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4C87A51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6EE94A8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7</w:t>
            </w:r>
          </w:p>
        </w:tc>
        <w:tc>
          <w:tcPr>
            <w:tcW w:w="2597" w:type="dxa"/>
            <w:shd w:val="clear" w:color="auto" w:fill="FFFFFF"/>
            <w:tcMar>
              <w:top w:w="120" w:type="dxa"/>
              <w:left w:w="120" w:type="dxa"/>
              <w:bottom w:w="120" w:type="dxa"/>
              <w:right w:w="120" w:type="dxa"/>
            </w:tcMar>
            <w:vAlign w:val="center"/>
          </w:tcPr>
          <w:p w14:paraId="26CBD27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社区环境管理实训系统</w:t>
            </w:r>
          </w:p>
        </w:tc>
        <w:tc>
          <w:tcPr>
            <w:tcW w:w="2331" w:type="dxa"/>
            <w:shd w:val="clear" w:color="auto" w:fill="FFFFFF"/>
            <w:tcMar>
              <w:top w:w="120" w:type="dxa"/>
              <w:left w:w="120" w:type="dxa"/>
              <w:bottom w:w="120" w:type="dxa"/>
              <w:right w:w="120" w:type="dxa"/>
            </w:tcMar>
            <w:vAlign w:val="center"/>
          </w:tcPr>
          <w:p w14:paraId="45E6745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清洁/绿化设备套装</w:t>
            </w:r>
          </w:p>
        </w:tc>
        <w:tc>
          <w:tcPr>
            <w:tcW w:w="791" w:type="dxa"/>
            <w:shd w:val="clear" w:color="auto" w:fill="FFFFFF"/>
            <w:tcMar>
              <w:top w:w="120" w:type="dxa"/>
              <w:left w:w="120" w:type="dxa"/>
              <w:bottom w:w="120" w:type="dxa"/>
              <w:right w:w="120" w:type="dxa"/>
            </w:tcMar>
            <w:vAlign w:val="center"/>
          </w:tcPr>
          <w:p w14:paraId="01A3AE3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3套</w:t>
            </w:r>
          </w:p>
        </w:tc>
        <w:tc>
          <w:tcPr>
            <w:tcW w:w="1558" w:type="dxa"/>
            <w:shd w:val="clear" w:color="auto" w:fill="FFFFFF"/>
            <w:tcMar>
              <w:top w:w="120" w:type="dxa"/>
              <w:left w:w="120" w:type="dxa"/>
              <w:bottom w:w="120" w:type="dxa"/>
              <w:right w:w="120" w:type="dxa"/>
            </w:tcMar>
            <w:vAlign w:val="center"/>
          </w:tcPr>
          <w:p w14:paraId="3F7EF0A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2021</w:t>
            </w:r>
          </w:p>
        </w:tc>
      </w:tr>
      <w:tr w14:paraId="7C71D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654C0F5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13FD885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8</w:t>
            </w:r>
          </w:p>
        </w:tc>
        <w:tc>
          <w:tcPr>
            <w:tcW w:w="2597" w:type="dxa"/>
            <w:shd w:val="clear" w:color="auto" w:fill="FFFFFF"/>
            <w:tcMar>
              <w:top w:w="120" w:type="dxa"/>
              <w:left w:w="120" w:type="dxa"/>
              <w:bottom w:w="120" w:type="dxa"/>
              <w:right w:w="120" w:type="dxa"/>
            </w:tcMar>
            <w:vAlign w:val="center"/>
          </w:tcPr>
          <w:p w14:paraId="072E070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物业能源管理实训平台</w:t>
            </w:r>
          </w:p>
        </w:tc>
        <w:tc>
          <w:tcPr>
            <w:tcW w:w="2331" w:type="dxa"/>
            <w:shd w:val="clear" w:color="auto" w:fill="FFFFFF"/>
            <w:tcMar>
              <w:top w:w="120" w:type="dxa"/>
              <w:left w:w="120" w:type="dxa"/>
              <w:bottom w:w="120" w:type="dxa"/>
              <w:right w:w="120" w:type="dxa"/>
            </w:tcMar>
            <w:vAlign w:val="center"/>
          </w:tcPr>
          <w:p w14:paraId="0919C540">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智能水电监测系统</w:t>
            </w:r>
          </w:p>
        </w:tc>
        <w:tc>
          <w:tcPr>
            <w:tcW w:w="791" w:type="dxa"/>
            <w:shd w:val="clear" w:color="auto" w:fill="FFFFFF"/>
            <w:tcMar>
              <w:top w:w="120" w:type="dxa"/>
              <w:left w:w="120" w:type="dxa"/>
              <w:bottom w:w="120" w:type="dxa"/>
              <w:right w:w="120" w:type="dxa"/>
            </w:tcMar>
            <w:vAlign w:val="center"/>
          </w:tcPr>
          <w:p w14:paraId="2FAE93B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2套</w:t>
            </w:r>
          </w:p>
        </w:tc>
        <w:tc>
          <w:tcPr>
            <w:tcW w:w="1558" w:type="dxa"/>
            <w:shd w:val="clear" w:color="auto" w:fill="FFFFFF"/>
            <w:tcMar>
              <w:top w:w="120" w:type="dxa"/>
              <w:left w:w="120" w:type="dxa"/>
              <w:bottom w:w="120" w:type="dxa"/>
              <w:right w:w="120" w:type="dxa"/>
            </w:tcMar>
            <w:vAlign w:val="center"/>
          </w:tcPr>
          <w:p w14:paraId="5FB48AC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2022</w:t>
            </w:r>
          </w:p>
        </w:tc>
      </w:tr>
      <w:tr w14:paraId="49A2D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0686681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794968BA">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9</w:t>
            </w:r>
          </w:p>
        </w:tc>
        <w:tc>
          <w:tcPr>
            <w:tcW w:w="2597" w:type="dxa"/>
            <w:shd w:val="clear" w:color="auto" w:fill="FFFFFF"/>
            <w:tcMar>
              <w:top w:w="120" w:type="dxa"/>
              <w:left w:w="120" w:type="dxa"/>
              <w:bottom w:w="120" w:type="dxa"/>
              <w:right w:w="120" w:type="dxa"/>
            </w:tcMar>
            <w:vAlign w:val="center"/>
          </w:tcPr>
          <w:p w14:paraId="5B29AB1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智能家居运维实训室</w:t>
            </w:r>
          </w:p>
        </w:tc>
        <w:tc>
          <w:tcPr>
            <w:tcW w:w="2331" w:type="dxa"/>
            <w:shd w:val="clear" w:color="auto" w:fill="FFFFFF"/>
            <w:tcMar>
              <w:top w:w="120" w:type="dxa"/>
              <w:left w:w="120" w:type="dxa"/>
              <w:bottom w:w="120" w:type="dxa"/>
              <w:right w:w="120" w:type="dxa"/>
            </w:tcMar>
            <w:vAlign w:val="center"/>
          </w:tcPr>
          <w:p w14:paraId="797277D3">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华为/海尔智慧家庭系统</w:t>
            </w:r>
          </w:p>
        </w:tc>
        <w:tc>
          <w:tcPr>
            <w:tcW w:w="791" w:type="dxa"/>
            <w:shd w:val="clear" w:color="auto" w:fill="FFFFFF"/>
            <w:tcMar>
              <w:top w:w="120" w:type="dxa"/>
              <w:left w:w="120" w:type="dxa"/>
              <w:bottom w:w="120" w:type="dxa"/>
              <w:right w:w="120" w:type="dxa"/>
            </w:tcMar>
            <w:vAlign w:val="center"/>
          </w:tcPr>
          <w:p w14:paraId="28EF042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2间</w:t>
            </w:r>
          </w:p>
        </w:tc>
        <w:tc>
          <w:tcPr>
            <w:tcW w:w="1558" w:type="dxa"/>
            <w:shd w:val="clear" w:color="auto" w:fill="FFFFFF"/>
            <w:tcMar>
              <w:top w:w="120" w:type="dxa"/>
              <w:left w:w="120" w:type="dxa"/>
              <w:bottom w:w="120" w:type="dxa"/>
              <w:right w:w="120" w:type="dxa"/>
            </w:tcMar>
            <w:vAlign w:val="center"/>
          </w:tcPr>
          <w:p w14:paraId="0FBAB17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2021</w:t>
            </w:r>
          </w:p>
        </w:tc>
      </w:tr>
      <w:tr w14:paraId="32410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4B21233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45E6077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10</w:t>
            </w:r>
          </w:p>
        </w:tc>
        <w:tc>
          <w:tcPr>
            <w:tcW w:w="2597" w:type="dxa"/>
            <w:shd w:val="clear" w:color="auto" w:fill="FFFFFF"/>
            <w:tcMar>
              <w:top w:w="120" w:type="dxa"/>
              <w:left w:w="120" w:type="dxa"/>
              <w:bottom w:w="120" w:type="dxa"/>
              <w:right w:w="120" w:type="dxa"/>
            </w:tcMar>
            <w:vAlign w:val="center"/>
          </w:tcPr>
          <w:p w14:paraId="0965BF1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物业应急管理实训室</w:t>
            </w:r>
          </w:p>
        </w:tc>
        <w:tc>
          <w:tcPr>
            <w:tcW w:w="2331" w:type="dxa"/>
            <w:shd w:val="clear" w:color="auto" w:fill="FFFFFF"/>
            <w:tcMar>
              <w:top w:w="120" w:type="dxa"/>
              <w:left w:w="120" w:type="dxa"/>
              <w:bottom w:w="120" w:type="dxa"/>
              <w:right w:w="120" w:type="dxa"/>
            </w:tcMar>
            <w:vAlign w:val="center"/>
          </w:tcPr>
          <w:p w14:paraId="482EFEE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包含防汛/防疫等应急设备</w:t>
            </w:r>
          </w:p>
        </w:tc>
        <w:tc>
          <w:tcPr>
            <w:tcW w:w="791" w:type="dxa"/>
            <w:shd w:val="clear" w:color="auto" w:fill="FFFFFF"/>
            <w:tcMar>
              <w:top w:w="120" w:type="dxa"/>
              <w:left w:w="120" w:type="dxa"/>
              <w:bottom w:w="120" w:type="dxa"/>
              <w:right w:w="120" w:type="dxa"/>
            </w:tcMar>
            <w:vAlign w:val="center"/>
          </w:tcPr>
          <w:p w14:paraId="786E873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1间</w:t>
            </w:r>
          </w:p>
        </w:tc>
        <w:tc>
          <w:tcPr>
            <w:tcW w:w="1558" w:type="dxa"/>
            <w:shd w:val="clear" w:color="auto" w:fill="FFFFFF"/>
            <w:tcMar>
              <w:top w:w="120" w:type="dxa"/>
              <w:left w:w="120" w:type="dxa"/>
              <w:bottom w:w="120" w:type="dxa"/>
              <w:right w:w="120" w:type="dxa"/>
            </w:tcMar>
            <w:vAlign w:val="center"/>
          </w:tcPr>
          <w:p w14:paraId="6C2F8B5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2022</w:t>
            </w:r>
          </w:p>
        </w:tc>
      </w:tr>
      <w:tr w14:paraId="0BE60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682FACE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423C085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11</w:t>
            </w:r>
          </w:p>
        </w:tc>
        <w:tc>
          <w:tcPr>
            <w:tcW w:w="2597" w:type="dxa"/>
            <w:shd w:val="clear" w:color="auto" w:fill="FFFFFF"/>
            <w:tcMar>
              <w:top w:w="120" w:type="dxa"/>
              <w:left w:w="120" w:type="dxa"/>
              <w:bottom w:w="120" w:type="dxa"/>
              <w:right w:w="120" w:type="dxa"/>
            </w:tcMar>
            <w:vAlign w:val="center"/>
          </w:tcPr>
          <w:p w14:paraId="26D9F3A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物业财务收费实训系统</w:t>
            </w:r>
          </w:p>
        </w:tc>
        <w:tc>
          <w:tcPr>
            <w:tcW w:w="2331" w:type="dxa"/>
            <w:shd w:val="clear" w:color="auto" w:fill="FFFFFF"/>
            <w:tcMar>
              <w:top w:w="120" w:type="dxa"/>
              <w:left w:w="120" w:type="dxa"/>
              <w:bottom w:w="120" w:type="dxa"/>
              <w:right w:w="120" w:type="dxa"/>
            </w:tcMar>
            <w:vAlign w:val="center"/>
          </w:tcPr>
          <w:p w14:paraId="558B79A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金蝶物业收费软件</w:t>
            </w:r>
          </w:p>
        </w:tc>
        <w:tc>
          <w:tcPr>
            <w:tcW w:w="791" w:type="dxa"/>
            <w:shd w:val="clear" w:color="auto" w:fill="FFFFFF"/>
            <w:tcMar>
              <w:top w:w="120" w:type="dxa"/>
              <w:left w:w="120" w:type="dxa"/>
              <w:bottom w:w="120" w:type="dxa"/>
              <w:right w:w="120" w:type="dxa"/>
            </w:tcMar>
            <w:vAlign w:val="center"/>
          </w:tcPr>
          <w:p w14:paraId="529918A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6节点</w:t>
            </w:r>
          </w:p>
        </w:tc>
        <w:tc>
          <w:tcPr>
            <w:tcW w:w="1558" w:type="dxa"/>
            <w:shd w:val="clear" w:color="auto" w:fill="FFFFFF"/>
            <w:tcMar>
              <w:top w:w="120" w:type="dxa"/>
              <w:left w:w="120" w:type="dxa"/>
              <w:bottom w:w="120" w:type="dxa"/>
              <w:right w:w="120" w:type="dxa"/>
            </w:tcMar>
            <w:vAlign w:val="center"/>
          </w:tcPr>
          <w:p w14:paraId="2A4B7DE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2020</w:t>
            </w:r>
          </w:p>
        </w:tc>
      </w:tr>
      <w:tr w14:paraId="23EA6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9" w:hRule="atLeast"/>
        </w:trPr>
        <w:tc>
          <w:tcPr>
            <w:tcW w:w="1090" w:type="dxa"/>
            <w:vMerge w:val="continue"/>
            <w:shd w:val="clear" w:color="auto" w:fill="FFFFFF"/>
            <w:tcMar>
              <w:top w:w="120" w:type="dxa"/>
              <w:left w:w="0" w:type="dxa"/>
              <w:bottom w:w="120" w:type="dxa"/>
              <w:right w:w="120" w:type="dxa"/>
            </w:tcMar>
            <w:vAlign w:val="center"/>
          </w:tcPr>
          <w:p w14:paraId="1CB061C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lang w:val="en-US" w:eastAsia="zh-CN"/>
              </w:rPr>
            </w:pPr>
          </w:p>
        </w:tc>
        <w:tc>
          <w:tcPr>
            <w:tcW w:w="715" w:type="dxa"/>
            <w:shd w:val="clear" w:color="auto" w:fill="FFFFFF"/>
            <w:tcMar>
              <w:top w:w="120" w:type="dxa"/>
              <w:left w:w="0" w:type="dxa"/>
              <w:bottom w:w="120" w:type="dxa"/>
              <w:right w:w="120" w:type="dxa"/>
            </w:tcMar>
            <w:vAlign w:val="center"/>
          </w:tcPr>
          <w:p w14:paraId="2834BA8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12</w:t>
            </w:r>
          </w:p>
        </w:tc>
        <w:tc>
          <w:tcPr>
            <w:tcW w:w="2597" w:type="dxa"/>
            <w:shd w:val="clear" w:color="auto" w:fill="FFFFFF"/>
            <w:tcMar>
              <w:top w:w="120" w:type="dxa"/>
              <w:left w:w="120" w:type="dxa"/>
              <w:bottom w:w="120" w:type="dxa"/>
              <w:right w:w="120" w:type="dxa"/>
            </w:tcMar>
            <w:vAlign w:val="center"/>
          </w:tcPr>
          <w:p w14:paraId="54F57AD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BIM物业运维实训中心</w:t>
            </w:r>
          </w:p>
        </w:tc>
        <w:tc>
          <w:tcPr>
            <w:tcW w:w="2331" w:type="dxa"/>
            <w:shd w:val="clear" w:color="auto" w:fill="FFFFFF"/>
            <w:tcMar>
              <w:top w:w="120" w:type="dxa"/>
              <w:left w:w="120" w:type="dxa"/>
              <w:bottom w:w="120" w:type="dxa"/>
              <w:right w:w="120" w:type="dxa"/>
            </w:tcMar>
            <w:vAlign w:val="center"/>
          </w:tcPr>
          <w:p w14:paraId="7882259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Revit/FM系统</w:t>
            </w:r>
          </w:p>
        </w:tc>
        <w:tc>
          <w:tcPr>
            <w:tcW w:w="791" w:type="dxa"/>
            <w:shd w:val="clear" w:color="auto" w:fill="FFFFFF"/>
            <w:tcMar>
              <w:top w:w="120" w:type="dxa"/>
              <w:left w:w="120" w:type="dxa"/>
              <w:bottom w:w="120" w:type="dxa"/>
              <w:right w:w="120" w:type="dxa"/>
            </w:tcMar>
            <w:vAlign w:val="center"/>
          </w:tcPr>
          <w:p w14:paraId="6CE53FF3">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1间</w:t>
            </w:r>
          </w:p>
        </w:tc>
        <w:tc>
          <w:tcPr>
            <w:tcW w:w="1558" w:type="dxa"/>
            <w:shd w:val="clear" w:color="auto" w:fill="FFFFFF"/>
            <w:tcMar>
              <w:top w:w="120" w:type="dxa"/>
              <w:left w:w="120" w:type="dxa"/>
              <w:bottom w:w="120" w:type="dxa"/>
              <w:right w:w="120" w:type="dxa"/>
            </w:tcMar>
            <w:vAlign w:val="center"/>
          </w:tcPr>
          <w:p w14:paraId="5056840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default"/>
                <w:sz w:val="18"/>
                <w:szCs w:val="18"/>
              </w:rPr>
            </w:pPr>
            <w:r>
              <w:rPr>
                <w:rFonts w:hint="default"/>
                <w:sz w:val="18"/>
                <w:szCs w:val="18"/>
                <w:lang w:val="en-US" w:eastAsia="zh-CN"/>
              </w:rPr>
              <w:t>2021</w:t>
            </w:r>
          </w:p>
        </w:tc>
      </w:tr>
    </w:tbl>
    <w:p w14:paraId="7C10A485">
      <w:pPr>
        <w:keepNext w:val="0"/>
        <w:keepLines w:val="0"/>
        <w:pageBreakBefore w:val="0"/>
        <w:widowControl/>
        <w:kinsoku/>
        <w:wordWrap/>
        <w:overflowPunct/>
        <w:topLinePunct w:val="0"/>
        <w:autoSpaceDE/>
        <w:autoSpaceDN/>
        <w:bidi w:val="0"/>
        <w:adjustRightInd/>
        <w:snapToGrid/>
        <w:spacing w:after="0" w:line="440" w:lineRule="exact"/>
        <w:textAlignment w:val="auto"/>
        <w:rPr>
          <w:rFonts w:hint="eastAsia" w:asciiTheme="minorEastAsia" w:hAnsiTheme="minorEastAsia" w:eastAsiaTheme="minorEastAsia"/>
          <w:sz w:val="24"/>
          <w:szCs w:val="24"/>
        </w:rPr>
      </w:pPr>
    </w:p>
    <w:p w14:paraId="6DC2CAAA">
      <w:pPr>
        <w:keepNext w:val="0"/>
        <w:keepLines w:val="0"/>
        <w:pageBreakBefore w:val="0"/>
        <w:widowControl/>
        <w:kinsoku/>
        <w:wordWrap/>
        <w:overflowPunct/>
        <w:topLinePunct w:val="0"/>
        <w:autoSpaceDE/>
        <w:autoSpaceDN/>
        <w:bidi w:val="0"/>
        <w:adjustRightInd/>
        <w:snapToGrid/>
        <w:spacing w:before="313" w:beforeLines="100"/>
        <w:ind w:firstLine="240" w:firstLineChars="100"/>
        <w:textAlignment w:val="auto"/>
        <w:rPr>
          <w:rFonts w:asciiTheme="minorEastAsia" w:hAnsiTheme="minorEastAsia" w:eastAsiaTheme="minorEastAsia"/>
          <w:sz w:val="24"/>
          <w:szCs w:val="24"/>
        </w:rPr>
      </w:pPr>
      <w:bookmarkStart w:id="305" w:name="_Toc103289815"/>
      <w:r>
        <w:rPr>
          <w:rFonts w:hint="eastAsia" w:asciiTheme="minorEastAsia" w:hAnsiTheme="minorEastAsia" w:eastAsiaTheme="minorEastAsia"/>
          <w:sz w:val="24"/>
          <w:szCs w:val="24"/>
        </w:rPr>
        <w:t>3.本专业校外实训基地建设情况</w:t>
      </w:r>
      <w:bookmarkEnd w:id="305"/>
    </w:p>
    <w:tbl>
      <w:tblPr>
        <w:tblStyle w:val="27"/>
        <w:tblW w:w="9298" w:type="dxa"/>
        <w:tblInd w:w="-1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41"/>
        <w:gridCol w:w="735"/>
        <w:gridCol w:w="2709"/>
        <w:gridCol w:w="2234"/>
        <w:gridCol w:w="866"/>
        <w:gridCol w:w="1613"/>
      </w:tblGrid>
      <w:tr w14:paraId="7F5CC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141" w:type="dxa"/>
            <w:vMerge w:val="restart"/>
          </w:tcPr>
          <w:p w14:paraId="71F84B34">
            <w:pPr>
              <w:pStyle w:val="19"/>
              <w:spacing w:line="320" w:lineRule="exact"/>
              <w:jc w:val="center"/>
              <w:rPr>
                <w:rFonts w:hint="eastAsia"/>
                <w:sz w:val="18"/>
                <w:szCs w:val="18"/>
              </w:rPr>
            </w:pPr>
          </w:p>
          <w:p w14:paraId="32142F8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专业实习</w:t>
            </w:r>
          </w:p>
          <w:p w14:paraId="6F8B6A4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b/>
                <w:sz w:val="18"/>
                <w:szCs w:val="18"/>
              </w:rPr>
            </w:pPr>
            <w:r>
              <w:rPr>
                <w:rFonts w:hint="eastAsia"/>
                <w:b/>
                <w:sz w:val="18"/>
                <w:szCs w:val="18"/>
              </w:rPr>
              <w:t>实训基地</w:t>
            </w:r>
          </w:p>
          <w:p w14:paraId="2D0C3CB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情况</w:t>
            </w:r>
          </w:p>
        </w:tc>
        <w:tc>
          <w:tcPr>
            <w:tcW w:w="735" w:type="dxa"/>
            <w:vAlign w:val="center"/>
          </w:tcPr>
          <w:p w14:paraId="53B51820">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序号</w:t>
            </w:r>
          </w:p>
        </w:tc>
        <w:tc>
          <w:tcPr>
            <w:tcW w:w="2709" w:type="dxa"/>
            <w:vAlign w:val="center"/>
          </w:tcPr>
          <w:p w14:paraId="3EDB4F03">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实训基地名称</w:t>
            </w:r>
          </w:p>
        </w:tc>
        <w:tc>
          <w:tcPr>
            <w:tcW w:w="2234" w:type="dxa"/>
            <w:vAlign w:val="center"/>
          </w:tcPr>
          <w:p w14:paraId="6C4E6BB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合作单位</w:t>
            </w:r>
          </w:p>
        </w:tc>
        <w:tc>
          <w:tcPr>
            <w:tcW w:w="866" w:type="dxa"/>
            <w:vAlign w:val="center"/>
          </w:tcPr>
          <w:p w14:paraId="3E163B91">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内/外</w:t>
            </w:r>
          </w:p>
        </w:tc>
        <w:tc>
          <w:tcPr>
            <w:tcW w:w="1613" w:type="dxa"/>
            <w:vAlign w:val="center"/>
          </w:tcPr>
          <w:p w14:paraId="6C70754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b/>
                <w:sz w:val="18"/>
                <w:szCs w:val="18"/>
              </w:rPr>
            </w:pPr>
            <w:r>
              <w:rPr>
                <w:rFonts w:hint="eastAsia"/>
                <w:b/>
                <w:sz w:val="18"/>
                <w:szCs w:val="18"/>
              </w:rPr>
              <w:t>实训项目</w:t>
            </w:r>
          </w:p>
        </w:tc>
      </w:tr>
      <w:tr w14:paraId="7F77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1141" w:type="dxa"/>
            <w:vMerge w:val="continue"/>
          </w:tcPr>
          <w:p w14:paraId="2FF2FE2F">
            <w:pPr>
              <w:pStyle w:val="19"/>
              <w:spacing w:line="320" w:lineRule="exact"/>
              <w:rPr>
                <w:sz w:val="18"/>
                <w:szCs w:val="18"/>
              </w:rPr>
            </w:pPr>
          </w:p>
        </w:tc>
        <w:tc>
          <w:tcPr>
            <w:tcW w:w="735" w:type="dxa"/>
            <w:vAlign w:val="center"/>
          </w:tcPr>
          <w:p w14:paraId="2D73787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1</w:t>
            </w:r>
          </w:p>
        </w:tc>
        <w:tc>
          <w:tcPr>
            <w:tcW w:w="2709" w:type="dxa"/>
            <w:vAlign w:val="center"/>
          </w:tcPr>
          <w:p w14:paraId="2A8761A8">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智能家居实训基地</w:t>
            </w:r>
          </w:p>
        </w:tc>
        <w:tc>
          <w:tcPr>
            <w:tcW w:w="2234" w:type="dxa"/>
            <w:vAlign w:val="center"/>
          </w:tcPr>
          <w:p w14:paraId="1BBDFF0F">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eastAsia="宋体"/>
                <w:sz w:val="18"/>
                <w:szCs w:val="18"/>
                <w:lang w:eastAsia="zh-CN"/>
              </w:rPr>
            </w:pPr>
            <w:r>
              <w:rPr>
                <w:rFonts w:hint="eastAsia"/>
                <w:sz w:val="18"/>
                <w:szCs w:val="18"/>
                <w:lang w:eastAsia="zh-CN"/>
              </w:rPr>
              <w:t>城关物业有限公司</w:t>
            </w:r>
          </w:p>
        </w:tc>
        <w:tc>
          <w:tcPr>
            <w:tcW w:w="866" w:type="dxa"/>
            <w:vAlign w:val="center"/>
          </w:tcPr>
          <w:p w14:paraId="51833AA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校外</w:t>
            </w:r>
          </w:p>
        </w:tc>
        <w:tc>
          <w:tcPr>
            <w:tcW w:w="1613" w:type="dxa"/>
            <w:vAlign w:val="center"/>
          </w:tcPr>
          <w:p w14:paraId="1DA10CB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智能家居、物联网</w:t>
            </w:r>
          </w:p>
        </w:tc>
      </w:tr>
      <w:tr w14:paraId="73C92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1141" w:type="dxa"/>
            <w:vMerge w:val="continue"/>
          </w:tcPr>
          <w:p w14:paraId="129A4D1C">
            <w:pPr>
              <w:pStyle w:val="19"/>
              <w:spacing w:line="320" w:lineRule="exact"/>
              <w:jc w:val="center"/>
              <w:rPr>
                <w:b/>
                <w:sz w:val="18"/>
                <w:szCs w:val="18"/>
              </w:rPr>
            </w:pPr>
          </w:p>
        </w:tc>
        <w:tc>
          <w:tcPr>
            <w:tcW w:w="735" w:type="dxa"/>
            <w:vAlign w:val="center"/>
          </w:tcPr>
          <w:p w14:paraId="03C08DF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2</w:t>
            </w:r>
          </w:p>
        </w:tc>
        <w:tc>
          <w:tcPr>
            <w:tcW w:w="2709" w:type="dxa"/>
            <w:vAlign w:val="center"/>
          </w:tcPr>
          <w:p w14:paraId="5DE8469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安防工程实训基地</w:t>
            </w:r>
          </w:p>
        </w:tc>
        <w:tc>
          <w:tcPr>
            <w:tcW w:w="2234" w:type="dxa"/>
            <w:vAlign w:val="center"/>
          </w:tcPr>
          <w:p w14:paraId="1FD76CFE">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eastAsia="宋体"/>
                <w:sz w:val="18"/>
                <w:szCs w:val="18"/>
                <w:lang w:eastAsia="zh-CN"/>
              </w:rPr>
            </w:pPr>
            <w:r>
              <w:rPr>
                <w:rFonts w:hint="eastAsia"/>
                <w:sz w:val="18"/>
                <w:szCs w:val="18"/>
                <w:lang w:eastAsia="zh-CN"/>
              </w:rPr>
              <w:t>兰州文曲湖小区</w:t>
            </w:r>
          </w:p>
        </w:tc>
        <w:tc>
          <w:tcPr>
            <w:tcW w:w="866" w:type="dxa"/>
            <w:vAlign w:val="center"/>
          </w:tcPr>
          <w:p w14:paraId="58EB69E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校外</w:t>
            </w:r>
          </w:p>
        </w:tc>
        <w:tc>
          <w:tcPr>
            <w:tcW w:w="1613" w:type="dxa"/>
            <w:vAlign w:val="center"/>
          </w:tcPr>
          <w:p w14:paraId="568BA77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系统集成</w:t>
            </w:r>
          </w:p>
        </w:tc>
      </w:tr>
      <w:tr w14:paraId="4C6F8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trPr>
        <w:tc>
          <w:tcPr>
            <w:tcW w:w="1141" w:type="dxa"/>
            <w:vMerge w:val="continue"/>
          </w:tcPr>
          <w:p w14:paraId="61B837C5">
            <w:pPr>
              <w:spacing w:line="320" w:lineRule="exact"/>
              <w:rPr>
                <w:sz w:val="18"/>
                <w:szCs w:val="18"/>
              </w:rPr>
            </w:pPr>
          </w:p>
        </w:tc>
        <w:tc>
          <w:tcPr>
            <w:tcW w:w="735" w:type="dxa"/>
            <w:vAlign w:val="center"/>
          </w:tcPr>
          <w:p w14:paraId="57D190E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3</w:t>
            </w:r>
          </w:p>
        </w:tc>
        <w:tc>
          <w:tcPr>
            <w:tcW w:w="2709" w:type="dxa"/>
            <w:vAlign w:val="center"/>
          </w:tcPr>
          <w:p w14:paraId="4E292EE9">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lang w:eastAsia="zh-CN"/>
              </w:rPr>
              <w:t>现代物业服务</w:t>
            </w:r>
            <w:r>
              <w:rPr>
                <w:rFonts w:hint="eastAsia"/>
                <w:sz w:val="18"/>
                <w:szCs w:val="18"/>
              </w:rPr>
              <w:t>实训基地</w:t>
            </w:r>
          </w:p>
        </w:tc>
        <w:tc>
          <w:tcPr>
            <w:tcW w:w="2234" w:type="dxa"/>
            <w:vAlign w:val="center"/>
          </w:tcPr>
          <w:p w14:paraId="1DB3E1DD">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eastAsia="宋体"/>
                <w:sz w:val="18"/>
                <w:szCs w:val="18"/>
                <w:lang w:eastAsia="zh-CN"/>
              </w:rPr>
            </w:pPr>
            <w:r>
              <w:rPr>
                <w:rFonts w:hint="eastAsia"/>
                <w:sz w:val="18"/>
                <w:szCs w:val="18"/>
                <w:lang w:eastAsia="zh-CN"/>
              </w:rPr>
              <w:t>兰州兰石物业服务有限公司</w:t>
            </w:r>
          </w:p>
        </w:tc>
        <w:tc>
          <w:tcPr>
            <w:tcW w:w="866" w:type="dxa"/>
            <w:vAlign w:val="center"/>
          </w:tcPr>
          <w:p w14:paraId="5B362E2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校外</w:t>
            </w:r>
          </w:p>
        </w:tc>
        <w:tc>
          <w:tcPr>
            <w:tcW w:w="1613" w:type="dxa"/>
            <w:vAlign w:val="center"/>
          </w:tcPr>
          <w:p w14:paraId="286DF617">
            <w:pPr>
              <w:pStyle w:val="19"/>
              <w:keepNext w:val="0"/>
              <w:keepLines w:val="0"/>
              <w:pageBreakBefore w:val="0"/>
              <w:widowControl/>
              <w:kinsoku/>
              <w:wordWrap/>
              <w:overflowPunct/>
              <w:topLinePunct w:val="0"/>
              <w:autoSpaceDE/>
              <w:autoSpaceDN/>
              <w:bidi w:val="0"/>
              <w:adjustRightInd/>
              <w:snapToGrid/>
              <w:spacing w:after="0" w:line="240" w:lineRule="exact"/>
              <w:jc w:val="center"/>
              <w:textAlignment w:val="auto"/>
              <w:rPr>
                <w:sz w:val="18"/>
                <w:szCs w:val="18"/>
              </w:rPr>
            </w:pPr>
            <w:r>
              <w:rPr>
                <w:rFonts w:hint="eastAsia"/>
                <w:sz w:val="18"/>
                <w:szCs w:val="18"/>
                <w:lang w:eastAsia="zh-CN"/>
              </w:rPr>
              <w:t>现代物业服务</w:t>
            </w:r>
            <w:r>
              <w:rPr>
                <w:rFonts w:hint="eastAsia"/>
                <w:sz w:val="18"/>
                <w:szCs w:val="18"/>
              </w:rPr>
              <w:t>实训</w:t>
            </w:r>
          </w:p>
        </w:tc>
      </w:tr>
      <w:tr w14:paraId="2AE5B5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1141" w:type="dxa"/>
            <w:vMerge w:val="continue"/>
          </w:tcPr>
          <w:p w14:paraId="0A12EF65">
            <w:pPr>
              <w:pStyle w:val="19"/>
              <w:spacing w:line="320" w:lineRule="exact"/>
              <w:rPr>
                <w:sz w:val="18"/>
                <w:szCs w:val="18"/>
              </w:rPr>
            </w:pPr>
          </w:p>
        </w:tc>
        <w:tc>
          <w:tcPr>
            <w:tcW w:w="735" w:type="dxa"/>
            <w:vAlign w:val="center"/>
          </w:tcPr>
          <w:p w14:paraId="0DF088A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4</w:t>
            </w:r>
          </w:p>
        </w:tc>
        <w:tc>
          <w:tcPr>
            <w:tcW w:w="2709" w:type="dxa"/>
            <w:vAlign w:val="center"/>
          </w:tcPr>
          <w:p w14:paraId="7796BEC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给排水实训基地</w:t>
            </w:r>
          </w:p>
        </w:tc>
        <w:tc>
          <w:tcPr>
            <w:tcW w:w="2234" w:type="dxa"/>
            <w:vAlign w:val="center"/>
          </w:tcPr>
          <w:p w14:paraId="5EFFFBB4">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eastAsia="宋体"/>
                <w:sz w:val="18"/>
                <w:szCs w:val="18"/>
                <w:lang w:eastAsia="zh-CN"/>
              </w:rPr>
            </w:pPr>
            <w:r>
              <w:rPr>
                <w:rFonts w:hint="eastAsia"/>
                <w:sz w:val="18"/>
                <w:szCs w:val="18"/>
                <w:lang w:eastAsia="zh-CN"/>
              </w:rPr>
              <w:t>兰州现代职业学院</w:t>
            </w:r>
          </w:p>
        </w:tc>
        <w:tc>
          <w:tcPr>
            <w:tcW w:w="866" w:type="dxa"/>
            <w:vAlign w:val="center"/>
          </w:tcPr>
          <w:p w14:paraId="497EE6E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校外</w:t>
            </w:r>
          </w:p>
        </w:tc>
        <w:tc>
          <w:tcPr>
            <w:tcW w:w="1613" w:type="dxa"/>
            <w:vAlign w:val="center"/>
          </w:tcPr>
          <w:p w14:paraId="3D3420DC">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给排水实训</w:t>
            </w:r>
          </w:p>
        </w:tc>
      </w:tr>
      <w:tr w14:paraId="0E7B0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1141" w:type="dxa"/>
            <w:vMerge w:val="continue"/>
          </w:tcPr>
          <w:p w14:paraId="2A4311A2">
            <w:pPr>
              <w:pStyle w:val="19"/>
              <w:spacing w:line="320" w:lineRule="exact"/>
              <w:rPr>
                <w:sz w:val="18"/>
                <w:szCs w:val="18"/>
              </w:rPr>
            </w:pPr>
          </w:p>
        </w:tc>
        <w:tc>
          <w:tcPr>
            <w:tcW w:w="735" w:type="dxa"/>
            <w:vAlign w:val="center"/>
          </w:tcPr>
          <w:p w14:paraId="0DEDF5F7">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5</w:t>
            </w:r>
          </w:p>
        </w:tc>
        <w:tc>
          <w:tcPr>
            <w:tcW w:w="2709" w:type="dxa"/>
            <w:vAlign w:val="center"/>
          </w:tcPr>
          <w:p w14:paraId="0C726ACB">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智能家居实训基地</w:t>
            </w:r>
          </w:p>
        </w:tc>
        <w:tc>
          <w:tcPr>
            <w:tcW w:w="2234" w:type="dxa"/>
            <w:vAlign w:val="center"/>
          </w:tcPr>
          <w:p w14:paraId="5ED11306">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rFonts w:hint="eastAsia" w:eastAsia="宋体"/>
                <w:sz w:val="18"/>
                <w:szCs w:val="18"/>
                <w:lang w:eastAsia="zh-CN"/>
              </w:rPr>
            </w:pPr>
            <w:r>
              <w:rPr>
                <w:rFonts w:hint="eastAsia"/>
                <w:sz w:val="18"/>
                <w:szCs w:val="18"/>
                <w:lang w:eastAsia="zh-CN"/>
              </w:rPr>
              <w:t>雅生活物业服务有限公司</w:t>
            </w:r>
          </w:p>
        </w:tc>
        <w:tc>
          <w:tcPr>
            <w:tcW w:w="866" w:type="dxa"/>
            <w:vAlign w:val="center"/>
          </w:tcPr>
          <w:p w14:paraId="21540FA2">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校外</w:t>
            </w:r>
          </w:p>
        </w:tc>
        <w:tc>
          <w:tcPr>
            <w:tcW w:w="1613" w:type="dxa"/>
            <w:vAlign w:val="center"/>
          </w:tcPr>
          <w:p w14:paraId="56A48F15">
            <w:pPr>
              <w:pStyle w:val="19"/>
              <w:keepNext w:val="0"/>
              <w:keepLines w:val="0"/>
              <w:pageBreakBefore w:val="0"/>
              <w:widowControl/>
              <w:kinsoku/>
              <w:wordWrap/>
              <w:overflowPunct/>
              <w:topLinePunct w:val="0"/>
              <w:autoSpaceDE/>
              <w:autoSpaceDN/>
              <w:bidi w:val="0"/>
              <w:adjustRightInd/>
              <w:snapToGrid/>
              <w:spacing w:after="0" w:line="320" w:lineRule="exact"/>
              <w:jc w:val="center"/>
              <w:textAlignment w:val="auto"/>
              <w:rPr>
                <w:sz w:val="18"/>
                <w:szCs w:val="18"/>
              </w:rPr>
            </w:pPr>
            <w:r>
              <w:rPr>
                <w:rFonts w:hint="eastAsia"/>
                <w:sz w:val="18"/>
                <w:szCs w:val="18"/>
              </w:rPr>
              <w:t>智能家居</w:t>
            </w:r>
          </w:p>
        </w:tc>
      </w:tr>
    </w:tbl>
    <w:p w14:paraId="47712B26">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4.本专业学生实习基地建设情况</w:t>
      </w:r>
    </w:p>
    <w:p w14:paraId="2EB960A7">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学院在广泛开展校企合作的基础上，遴选省内外优质、大型企业，与多家企业建立了稳定的校外学生实习基地。为本专业学生提供相关实习岗位，顶岗实习、就业能提供能涵盖当前</w:t>
      </w:r>
      <w:r>
        <w:rPr>
          <w:rFonts w:hint="eastAsia" w:asciiTheme="minorEastAsia" w:hAnsiTheme="minorEastAsia" w:eastAsiaTheme="minorEastAsia"/>
          <w:sz w:val="24"/>
          <w:szCs w:val="24"/>
          <w:lang w:eastAsia="zh-CN"/>
        </w:rPr>
        <w:t>现代物业服务管理的</w:t>
      </w:r>
      <w:r>
        <w:rPr>
          <w:rFonts w:hint="eastAsia" w:asciiTheme="minorEastAsia" w:hAnsiTheme="minorEastAsia" w:eastAsiaTheme="minorEastAsia"/>
          <w:sz w:val="24"/>
          <w:szCs w:val="24"/>
        </w:rPr>
        <w:t>主流技术，可接纳一定规模的学生实习；能够配备 相应数量的指导教师对学生实习进行指导和管理；有保证实习生 日常工作、学习、生活的规章制度，有安全保险保障。</w:t>
      </w:r>
    </w:p>
    <w:p w14:paraId="2464114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asciiTheme="minorEastAsia" w:hAnsiTheme="minorEastAsia" w:eastAsiaTheme="minorEastAsia"/>
          <w:sz w:val="24"/>
          <w:szCs w:val="24"/>
        </w:rPr>
      </w:pPr>
      <w:bookmarkStart w:id="306" w:name="_Toc24424"/>
      <w:r>
        <w:rPr>
          <w:rFonts w:hint="eastAsia" w:asciiTheme="minorEastAsia" w:hAnsiTheme="minorEastAsia" w:eastAsiaTheme="minorEastAsia"/>
          <w:sz w:val="24"/>
          <w:szCs w:val="24"/>
        </w:rPr>
        <w:t>5.支持信息化教学方面情况</w:t>
      </w:r>
      <w:bookmarkEnd w:id="306"/>
    </w:p>
    <w:p w14:paraId="767774EB">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主动适应“互联网+职业教育”新要求，修订完善学院“三延伸两融合”教学模式改革实践，全面提升教师信息技术应用能力，积极推进信息技术与教学融合实践，通过数字化校园环境建设、数字化教学资源库应用与建设，加快建设智能化教学支持环境，推动大数据、人工智能、虚拟现实等现代信息技术在教育教学中的广泛应用，引导鼓励教师利用信息化教学资源、教学平台，仿真模拟平台实施教学，积极推动教师角色的转变和教育理念、教学观念、教学内容、教学方法以及教学评价等方面的改革，为学生终身学习服务。</w:t>
      </w:r>
    </w:p>
    <w:bookmarkEnd w:id="269"/>
    <w:bookmarkEnd w:id="270"/>
    <w:bookmarkEnd w:id="271"/>
    <w:bookmarkEnd w:id="272"/>
    <w:p w14:paraId="40FC157F">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307" w:name="_Toc77884807"/>
      <w:bookmarkStart w:id="308" w:name="_Toc21838"/>
      <w:bookmarkStart w:id="309" w:name="_Toc20533"/>
      <w:bookmarkStart w:id="310" w:name="_Toc77885009"/>
      <w:bookmarkStart w:id="311" w:name="_Toc32714"/>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四</w:t>
      </w:r>
      <w:r>
        <w:rPr>
          <w:rFonts w:hint="eastAsia" w:asciiTheme="minorEastAsia" w:hAnsiTheme="minorEastAsia" w:eastAsiaTheme="minorEastAsia" w:cstheme="majorBidi"/>
          <w:b w:val="0"/>
          <w:bCs w:val="0"/>
          <w:szCs w:val="24"/>
          <w:lang w:val="en-US" w:bidi="ar-SA"/>
        </w:rPr>
        <w:t>）教学资源</w:t>
      </w:r>
      <w:bookmarkEnd w:id="307"/>
      <w:bookmarkEnd w:id="308"/>
      <w:bookmarkEnd w:id="309"/>
      <w:bookmarkEnd w:id="310"/>
      <w:bookmarkEnd w:id="311"/>
    </w:p>
    <w:p w14:paraId="431BBDFE">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312" w:name="_Toc11535"/>
      <w:bookmarkStart w:id="313" w:name="_Toc11745"/>
      <w:bookmarkStart w:id="314" w:name="_Toc77884808"/>
      <w:bookmarkStart w:id="315" w:name="_Toc77885010"/>
      <w:bookmarkStart w:id="316" w:name="_Toc15701"/>
      <w:bookmarkStart w:id="317" w:name="_Toc22389"/>
      <w:r>
        <w:rPr>
          <w:rFonts w:hint="eastAsia" w:asciiTheme="minorEastAsia" w:hAnsiTheme="minorEastAsia" w:eastAsiaTheme="minorEastAsia" w:cstheme="majorBidi"/>
          <w:b w:val="0"/>
          <w:bCs w:val="0"/>
          <w:szCs w:val="24"/>
          <w:lang w:val="en-US" w:bidi="ar-SA"/>
        </w:rPr>
        <w:t>1．教材选用情况</w:t>
      </w:r>
      <w:bookmarkEnd w:id="312"/>
      <w:bookmarkEnd w:id="313"/>
    </w:p>
    <w:p w14:paraId="356811ED">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318" w:name="_Toc28179"/>
      <w:bookmarkStart w:id="319" w:name="_Toc16799"/>
      <w:r>
        <w:rPr>
          <w:rFonts w:hint="eastAsia" w:asciiTheme="minorEastAsia" w:hAnsiTheme="minorEastAsia" w:eastAsiaTheme="minorEastAsia" w:cstheme="majorBidi"/>
          <w:b w:val="0"/>
          <w:bCs w:val="0"/>
          <w:szCs w:val="24"/>
          <w:lang w:val="en-US" w:bidi="ar-SA"/>
        </w:rPr>
        <w:t>学院制定完善教材选用制度，建立由专业教师、行业专家和教研人员等参与的教材选用机构，坚持按照国家规定选用规划教材或能够体现新技术、新工艺、新规范等的高质量教材，支持和鼓励教</w:t>
      </w:r>
      <w:r>
        <w:rPr>
          <w:rFonts w:hint="eastAsia" w:asciiTheme="minorEastAsia" w:hAnsiTheme="minorEastAsia" w:eastAsiaTheme="minorEastAsia" w:cstheme="majorBidi"/>
          <w:b w:val="0"/>
          <w:bCs w:val="0"/>
          <w:szCs w:val="24"/>
          <w:lang w:val="en-US" w:eastAsia="zh-CN" w:bidi="ar-SA"/>
        </w:rPr>
        <w:t>师</w:t>
      </w:r>
      <w:r>
        <w:rPr>
          <w:rFonts w:hint="eastAsia" w:asciiTheme="minorEastAsia" w:hAnsiTheme="minorEastAsia" w:eastAsiaTheme="minorEastAsia" w:cstheme="majorBidi"/>
          <w:b w:val="0"/>
          <w:bCs w:val="0"/>
          <w:szCs w:val="24"/>
          <w:lang w:val="en-US" w:bidi="ar-SA"/>
        </w:rPr>
        <w:t>开发符合国家要求的校本教材，制定严格的校本教材使用规范。</w:t>
      </w:r>
      <w:bookmarkEnd w:id="318"/>
      <w:bookmarkEnd w:id="319"/>
    </w:p>
    <w:p w14:paraId="2E69144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320" w:name="_Toc6119"/>
      <w:bookmarkStart w:id="321" w:name="_Toc9736"/>
      <w:r>
        <w:rPr>
          <w:rFonts w:hint="eastAsia" w:asciiTheme="minorEastAsia" w:hAnsiTheme="minorEastAsia" w:eastAsiaTheme="minorEastAsia" w:cstheme="majorBidi"/>
          <w:b w:val="0"/>
          <w:bCs w:val="0"/>
          <w:szCs w:val="24"/>
          <w:lang w:val="en-US" w:bidi="ar-SA"/>
        </w:rPr>
        <w:t>2．图书文献配备情况</w:t>
      </w:r>
      <w:bookmarkEnd w:id="320"/>
      <w:bookmarkEnd w:id="321"/>
    </w:p>
    <w:p w14:paraId="7779259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322" w:name="_Toc7483"/>
      <w:bookmarkStart w:id="323" w:name="_Toc25305"/>
      <w:r>
        <w:rPr>
          <w:rFonts w:hint="eastAsia" w:asciiTheme="minorEastAsia" w:hAnsiTheme="minorEastAsia" w:eastAsiaTheme="minorEastAsia" w:cstheme="majorBidi"/>
          <w:b w:val="0"/>
          <w:bCs w:val="0"/>
          <w:szCs w:val="24"/>
          <w:lang w:val="en-US" w:bidi="ar-SA"/>
        </w:rPr>
        <w:t>学院建有3.6万平方米的图书馆，馆藏图书文献纸质版23万册，电子版图书60万册，配备能满足人才培养、专业建设、教科研等工作的需要，并为师生提升了方便的查询、借阅。购置了期刊库、有400多门网络课程的超星尔雅学习平台，专业类图书和学术期刊逐年采购和补充，能够满足本专业教育教学研究需要。</w:t>
      </w:r>
      <w:bookmarkEnd w:id="322"/>
      <w:bookmarkEnd w:id="323"/>
    </w:p>
    <w:p w14:paraId="60511FC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324" w:name="_Toc15247"/>
      <w:bookmarkStart w:id="325" w:name="_Toc97"/>
      <w:r>
        <w:rPr>
          <w:rFonts w:hint="eastAsia" w:asciiTheme="minorEastAsia" w:hAnsiTheme="minorEastAsia" w:eastAsiaTheme="minorEastAsia" w:cstheme="majorBidi"/>
          <w:b w:val="0"/>
          <w:bCs w:val="0"/>
          <w:szCs w:val="24"/>
          <w:lang w:val="en-US" w:bidi="ar-SA"/>
        </w:rPr>
        <w:t>3．数字教学资源配置情况</w:t>
      </w:r>
      <w:bookmarkEnd w:id="324"/>
      <w:bookmarkEnd w:id="325"/>
    </w:p>
    <w:p w14:paraId="465C90F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326" w:name="_Toc19173"/>
      <w:bookmarkStart w:id="327" w:name="_Toc23545"/>
      <w:r>
        <w:rPr>
          <w:rFonts w:hint="eastAsia" w:asciiTheme="minorEastAsia" w:hAnsiTheme="minorEastAsia" w:eastAsiaTheme="minorEastAsia" w:cstheme="majorBidi"/>
          <w:b w:val="0"/>
          <w:bCs w:val="0"/>
          <w:szCs w:val="24"/>
          <w:lang w:val="en-US" w:bidi="ar-SA"/>
        </w:rPr>
        <w:t>学院</w:t>
      </w:r>
      <w:r>
        <w:rPr>
          <w:rFonts w:hint="eastAsia" w:asciiTheme="minorEastAsia" w:hAnsiTheme="minorEastAsia" w:eastAsiaTheme="minorEastAsia" w:cstheme="majorBidi"/>
          <w:b w:val="0"/>
          <w:bCs w:val="0"/>
          <w:szCs w:val="24"/>
          <w:lang w:val="en-US" w:eastAsia="zh-CN" w:bidi="ar-SA"/>
        </w:rPr>
        <w:t>现代物业服务</w:t>
      </w:r>
      <w:r>
        <w:rPr>
          <w:rFonts w:hint="eastAsia" w:asciiTheme="minorEastAsia" w:hAnsiTheme="minorEastAsia" w:eastAsiaTheme="minorEastAsia" w:cstheme="majorBidi"/>
          <w:b w:val="0"/>
          <w:bCs w:val="0"/>
          <w:szCs w:val="24"/>
          <w:lang w:val="en-US" w:bidi="ar-SA"/>
        </w:rPr>
        <w:t>专业建设和配备有电子教学资源，有丰富的音视频素材、教学课件、数字化教学案例库、虚拟仿真软件、数字教材等专业教学资源库，种类丰富、形式多样、使用便捷、动态更新、满足教学。</w:t>
      </w:r>
      <w:bookmarkEnd w:id="326"/>
      <w:bookmarkEnd w:id="327"/>
    </w:p>
    <w:p w14:paraId="047F74E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328" w:name="_Toc13705"/>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五</w:t>
      </w:r>
      <w:r>
        <w:rPr>
          <w:rFonts w:hint="eastAsia" w:asciiTheme="minorEastAsia" w:hAnsiTheme="minorEastAsia" w:eastAsiaTheme="minorEastAsia" w:cstheme="majorBidi"/>
          <w:b w:val="0"/>
          <w:bCs w:val="0"/>
          <w:szCs w:val="24"/>
          <w:lang w:val="en-US" w:bidi="ar-SA"/>
        </w:rPr>
        <w:t>）教学方法</w:t>
      </w:r>
      <w:bookmarkEnd w:id="314"/>
      <w:bookmarkEnd w:id="315"/>
      <w:bookmarkEnd w:id="316"/>
      <w:bookmarkEnd w:id="317"/>
      <w:bookmarkEnd w:id="328"/>
    </w:p>
    <w:p w14:paraId="559E5E4B">
      <w:pPr>
        <w:pStyle w:val="4"/>
        <w:keepNext w:val="0"/>
        <w:keepLines w:val="0"/>
        <w:pageBreakBefore w:val="0"/>
        <w:widowControl/>
        <w:kinsoku/>
        <w:wordWrap/>
        <w:overflowPunct/>
        <w:topLinePunct w:val="0"/>
        <w:autoSpaceDE/>
        <w:autoSpaceDN/>
        <w:bidi w:val="0"/>
        <w:adjustRightInd/>
        <w:snapToGrid/>
        <w:spacing w:after="0" w:line="440" w:lineRule="exact"/>
        <w:ind w:firstLine="638"/>
        <w:jc w:val="both"/>
        <w:textAlignment w:val="auto"/>
        <w:rPr>
          <w:rFonts w:asciiTheme="minorEastAsia" w:hAnsiTheme="minorEastAsia" w:eastAsiaTheme="minorEastAsia" w:cstheme="majorBidi"/>
          <w:sz w:val="24"/>
          <w:szCs w:val="24"/>
          <w:lang w:val="en-US" w:bidi="ar-SA"/>
        </w:rPr>
      </w:pPr>
      <w:bookmarkStart w:id="329" w:name="_Toc77885011"/>
      <w:bookmarkStart w:id="330" w:name="_Toc77884809"/>
      <w:bookmarkStart w:id="331" w:name="_Toc25529"/>
      <w:bookmarkStart w:id="332" w:name="_Toc785"/>
      <w:r>
        <w:rPr>
          <w:rFonts w:asciiTheme="minorEastAsia" w:hAnsiTheme="minorEastAsia" w:eastAsiaTheme="minorEastAsia" w:cstheme="majorBidi"/>
          <w:sz w:val="24"/>
          <w:szCs w:val="24"/>
          <w:lang w:val="en-US" w:bidi="ar-SA"/>
        </w:rPr>
        <w:t>构建适应“互联网+职业教育”新要求，积极推进“公共基础课向第二课堂和校企文化融合延伸”“专业理论课向实践性教学延伸”“专业技能课向工学结合、技能展赛、顶岗实习岗位技能延伸”“信息技术与教学融合”“产教融合”的“三延伸两融合” 教学模式改革实践，充分利用数字化教学资源、校企合作资源，推进本专业开展项目教学、案例教学、情境教学、模块化教学、仿真模拟教学等教学方式，广泛运用启发式、探究式、讨论式、参与式等教学方法，推广翻转课堂、混合式教学、理实一体教学等新型教学模式，加大实践教学力度，做好专业实训教学超过 50%，提高课堂教学质量，强化学生职业技能训练。</w:t>
      </w:r>
    </w:p>
    <w:p w14:paraId="291C49E2">
      <w:pPr>
        <w:pStyle w:val="4"/>
        <w:spacing w:line="440" w:lineRule="exact"/>
        <w:ind w:firstLine="638"/>
        <w:jc w:val="center"/>
      </w:pPr>
      <w:r>
        <w:rPr>
          <w:lang w:val="en-US" w:bidi="ar-SA"/>
        </w:rPr>
        <w:drawing>
          <wp:anchor distT="0" distB="0" distL="114300" distR="114300" simplePos="0" relativeHeight="251659264" behindDoc="0" locked="0" layoutInCell="1" allowOverlap="1">
            <wp:simplePos x="0" y="0"/>
            <wp:positionH relativeFrom="column">
              <wp:posOffset>412750</wp:posOffset>
            </wp:positionH>
            <wp:positionV relativeFrom="paragraph">
              <wp:posOffset>271145</wp:posOffset>
            </wp:positionV>
            <wp:extent cx="5204460" cy="2595880"/>
            <wp:effectExtent l="9525" t="9525" r="24765" b="23495"/>
            <wp:wrapTopAndBottom/>
            <wp:docPr id="4" name="图片 3" descr="“三延伸两融合”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三延伸两融合”图示"/>
                    <pic:cNvPicPr>
                      <a:picLocks noChangeAspect="1"/>
                    </pic:cNvPicPr>
                  </pic:nvPicPr>
                  <pic:blipFill>
                    <a:blip r:embed="rId11"/>
                    <a:srcRect l="-131"/>
                    <a:stretch>
                      <a:fillRect/>
                    </a:stretch>
                  </pic:blipFill>
                  <pic:spPr>
                    <a:xfrm>
                      <a:off x="0" y="0"/>
                      <a:ext cx="5204460" cy="2595880"/>
                    </a:xfrm>
                    <a:prstGeom prst="rect">
                      <a:avLst/>
                    </a:prstGeom>
                    <a:ln>
                      <a:solidFill>
                        <a:schemeClr val="tx1"/>
                      </a:solidFill>
                    </a:ln>
                  </pic:spPr>
                </pic:pic>
              </a:graphicData>
            </a:graphic>
          </wp:anchor>
        </w:drawing>
      </w:r>
      <w:r>
        <w:rPr>
          <w:rFonts w:hint="eastAsia" w:asciiTheme="minorEastAsia" w:hAnsiTheme="minorEastAsia" w:eastAsiaTheme="minorEastAsia"/>
          <w:b/>
          <w:bCs/>
          <w:sz w:val="24"/>
          <w:szCs w:val="24"/>
        </w:rPr>
        <w:t>图1：“三延伸两融合”教学模式图示</w:t>
      </w:r>
    </w:p>
    <w:p w14:paraId="61FBC129">
      <w:pPr>
        <w:keepNext w:val="0"/>
        <w:keepLines w:val="0"/>
        <w:pageBreakBefore w:val="0"/>
        <w:widowControl/>
        <w:kinsoku/>
        <w:wordWrap/>
        <w:topLinePunct w:val="0"/>
        <w:autoSpaceDE/>
        <w:autoSpaceDN/>
        <w:bidi w:val="0"/>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本专业构建了“以岗位职业能力需求为核心、以职业能力培 养为主线、岗位工作为导向”的课程体系，通过实施“专业—岗位—能力—任务—项目—课程”六位一体式双向融通的人才培养 模式，通过开展“课程教学项目化、实践教学任务化、技能训练标准化、实训项目专门化、顶岗实习岗位化”，将职业素质训练 贯穿于教学及实训的各个环节，建设特色课程，有效实施“校内基地基本技能实训”“校外企业见习、实践进行职业能力训练”</w:t>
      </w:r>
      <w:r>
        <w:rPr>
          <w:rFonts w:hint="eastAsia" w:asciiTheme="minorEastAsia" w:hAnsiTheme="minorEastAsia" w:eastAsiaTheme="minorEastAsia"/>
          <w:sz w:val="24"/>
          <w:szCs w:val="24"/>
        </w:rPr>
        <w:t>、</w:t>
      </w:r>
      <w:r>
        <w:rPr>
          <w:rFonts w:asciiTheme="minorEastAsia" w:hAnsiTheme="minorEastAsia" w:eastAsiaTheme="minorEastAsia"/>
          <w:sz w:val="24"/>
          <w:szCs w:val="24"/>
        </w:rPr>
        <w:t>“企业工学交替、顶岗实习就业能力训练”的“三训结合实训教学模式”，促进校企文化融合，强化学生职业能力培养。</w:t>
      </w:r>
    </w:p>
    <w:bookmarkEnd w:id="329"/>
    <w:bookmarkEnd w:id="330"/>
    <w:bookmarkEnd w:id="331"/>
    <w:bookmarkEnd w:id="332"/>
    <w:p w14:paraId="5C568252">
      <w:pPr>
        <w:keepNext w:val="0"/>
        <w:keepLines w:val="0"/>
        <w:pageBreakBefore w:val="0"/>
        <w:widowControl/>
        <w:kinsoku/>
        <w:wordWrap/>
        <w:topLinePunct w:val="0"/>
        <w:autoSpaceDE/>
        <w:autoSpaceDN/>
        <w:bidi w:val="0"/>
        <w:spacing w:after="0" w:line="440" w:lineRule="exact"/>
        <w:ind w:firstLine="480" w:firstLineChars="200"/>
        <w:textAlignment w:val="auto"/>
        <w:outlineLvl w:val="1"/>
        <w:rPr>
          <w:rFonts w:asciiTheme="minorEastAsia" w:hAnsiTheme="minorEastAsia" w:eastAsiaTheme="minorEastAsia"/>
          <w:sz w:val="24"/>
          <w:szCs w:val="24"/>
        </w:rPr>
      </w:pPr>
      <w:bookmarkStart w:id="333" w:name="_Toc103696829"/>
      <w:bookmarkStart w:id="334" w:name="_Toc2340"/>
      <w:bookmarkStart w:id="335" w:name="_Toc103289821"/>
      <w:bookmarkStart w:id="336" w:name="_Toc77884811"/>
      <w:bookmarkStart w:id="337" w:name="_Toc16234"/>
      <w:bookmarkStart w:id="338" w:name="_Toc1019"/>
      <w:bookmarkStart w:id="339" w:name="_Toc77885013"/>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六</w:t>
      </w:r>
      <w:r>
        <w:rPr>
          <w:rFonts w:hint="eastAsia" w:asciiTheme="minorEastAsia" w:hAnsiTheme="minorEastAsia" w:eastAsiaTheme="minorEastAsia"/>
          <w:sz w:val="24"/>
          <w:szCs w:val="24"/>
        </w:rPr>
        <w:t>）学习评价</w:t>
      </w:r>
      <w:bookmarkEnd w:id="333"/>
      <w:bookmarkEnd w:id="334"/>
      <w:bookmarkEnd w:id="335"/>
    </w:p>
    <w:p w14:paraId="32B98982">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学院构建的“六位一体”多元化学生综合能力评价体系要求，充分利用数字化校园环境建设的优势，严格落实本专业培养目标和培养规格要求，有效开展“学生品德评价、学业成绩评价、拓展活动参与评价、技能定级评价、工学交替评价、顶岗实习评价”等六个方面的综合评价，引入自评、互评、企业评、社会评等多元评价，客观公正、全过程、全方位进行学生综合能力评价，引导学生自我管理、主动学习，提高学习效率。为学生搭建展示才能的舞台，提高学生的综合职业能力。</w:t>
      </w:r>
    </w:p>
    <w:p w14:paraId="1FEC9F93">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0" w:name="_Toc31585"/>
      <w:r>
        <w:rPr>
          <w:rFonts w:hint="eastAsia" w:asciiTheme="minorEastAsia" w:hAnsiTheme="minorEastAsia" w:eastAsiaTheme="minorEastAsia"/>
          <w:sz w:val="24"/>
          <w:szCs w:val="24"/>
          <w:lang w:val="en-US" w:eastAsia="zh-CN"/>
        </w:rPr>
        <w:t>1.</w:t>
      </w:r>
      <w:r>
        <w:rPr>
          <w:rFonts w:asciiTheme="minorEastAsia" w:hAnsiTheme="minorEastAsia" w:eastAsiaTheme="minorEastAsia"/>
          <w:sz w:val="24"/>
          <w:szCs w:val="24"/>
        </w:rPr>
        <w:t>有效开展学生思想品德评价，建立学生成长档案</w:t>
      </w:r>
      <w:bookmarkEnd w:id="340"/>
    </w:p>
    <w:p w14:paraId="47BDE9E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坚持把立德树人作为根本任务，深化“三全育人”综合改革，全面推 动习近平新时代中国特色社会主义思想进教材进课堂进头脑，积极培育和践行社会主义核心价值观。通过加强学生思想品德教育，在学生的思想道德教育、文化知识教育、技术技能培养、社会实践教育等各环节融入社会主义核心价值观，推动专业课教学与思想政治理论课教学紧密结合，切实提升思想政治工作质量。通过制定学生思想品德评价标准，利用数字化教学环境建设、大数据分析等先进手段，建立学生思想品德成长档案，根据学生在校综合表现和参与各类活动的情况，在本专业各班开展学院、家庭、社会共同参与的学生思想品德评价改革。</w:t>
      </w:r>
    </w:p>
    <w:p w14:paraId="14EA7E46">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1" w:name="_Toc29610"/>
      <w:r>
        <w:rPr>
          <w:rFonts w:hint="eastAsia" w:asciiTheme="minorEastAsia" w:hAnsiTheme="minorEastAsia" w:eastAsiaTheme="minorEastAsia"/>
          <w:sz w:val="24"/>
          <w:szCs w:val="24"/>
          <w:lang w:val="en-US" w:eastAsia="zh-CN"/>
        </w:rPr>
        <w:t>2.</w:t>
      </w:r>
      <w:r>
        <w:rPr>
          <w:rFonts w:asciiTheme="minorEastAsia" w:hAnsiTheme="minorEastAsia" w:eastAsiaTheme="minorEastAsia"/>
          <w:sz w:val="24"/>
          <w:szCs w:val="24"/>
        </w:rPr>
        <w:t>开展多形式学生学业成绩评价，完善学生学籍档案</w:t>
      </w:r>
      <w:bookmarkEnd w:id="341"/>
    </w:p>
    <w:p w14:paraId="7020A871">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专业学生在校期间开设的课程，根据公共基础课、专业理论课、专业技能课等课程教学特点和</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特色，制定各学科考核标准和考试评价细则，采用理论测试、理论与技能测试相结合、技能竞赛、作业作品展评、技能定级等多种形式考核评价学生的学业成绩，修订和完善学生学籍档案，探索基于数字化教学环境，加强学生学籍档案管理的新模式，实现学生学业成绩信息化管理。</w:t>
      </w:r>
    </w:p>
    <w:p w14:paraId="0BEC52C4">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2" w:name="_Toc6973"/>
      <w:r>
        <w:rPr>
          <w:rFonts w:hint="eastAsia" w:asciiTheme="minorEastAsia" w:hAnsiTheme="minorEastAsia" w:eastAsiaTheme="minorEastAsia"/>
          <w:sz w:val="24"/>
          <w:szCs w:val="24"/>
          <w:lang w:val="en-US" w:eastAsia="zh-CN"/>
        </w:rPr>
        <w:t>3.</w:t>
      </w:r>
      <w:r>
        <w:rPr>
          <w:rFonts w:asciiTheme="minorEastAsia" w:hAnsiTheme="minorEastAsia" w:eastAsiaTheme="minorEastAsia"/>
          <w:sz w:val="24"/>
          <w:szCs w:val="24"/>
        </w:rPr>
        <w:t>重视学生专业拓展活动评价，强化学生职业素养培</w:t>
      </w:r>
      <w:r>
        <w:rPr>
          <w:rFonts w:hint="eastAsia" w:asciiTheme="minorEastAsia" w:hAnsiTheme="minorEastAsia" w:eastAsiaTheme="minorEastAsia"/>
          <w:sz w:val="24"/>
          <w:szCs w:val="24"/>
        </w:rPr>
        <w:t>养</w:t>
      </w:r>
      <w:bookmarkEnd w:id="342"/>
    </w:p>
    <w:p w14:paraId="22541365">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构建</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专业技能竞赛、作业展评、社团活动评价标准，构建以赛促学、以赛促练、以赛促评综合评价改革。结合</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专业各学科教学特点，积极组织</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专业各年级各学科学生广泛开展“科科有训练、周周有展示、学期有竞赛、层层有选拔”活动，实现以赛促学、以赛促练、以赛促评。制定</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专业各学科各年级各项目竞赛训练队活动方案、社团活动、作业作品展评的计划、实施方案、竞赛规程、评价标准，学生奖励制度等， 鼓励学生结合自己的特长、兴趣参加学院各类竞赛训练、各种社团活动及作业作品展评活动等，整理归档各类活动资料，总结竞赛训练、社团活动、作业作品展评等活动的开展对促进学生专业技能和专业综合能力提升的成果。</w:t>
      </w:r>
    </w:p>
    <w:p w14:paraId="3A7EAE88">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3" w:name="_Toc15082"/>
      <w:r>
        <w:rPr>
          <w:rFonts w:hint="eastAsia" w:asciiTheme="minorEastAsia" w:hAnsiTheme="minorEastAsia" w:eastAsiaTheme="minorEastAsia"/>
          <w:sz w:val="24"/>
          <w:szCs w:val="24"/>
        </w:rPr>
        <w:t>4.</w:t>
      </w:r>
      <w:r>
        <w:rPr>
          <w:rFonts w:asciiTheme="minorEastAsia" w:hAnsiTheme="minorEastAsia" w:eastAsiaTheme="minorEastAsia"/>
          <w:sz w:val="24"/>
          <w:szCs w:val="24"/>
        </w:rPr>
        <w:t>积极参与实施</w:t>
      </w: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1+X</w:t>
      </w: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证书制度试点</w:t>
      </w:r>
      <w:bookmarkEnd w:id="343"/>
    </w:p>
    <w:p w14:paraId="3A3BD8C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充分发挥学院职业技能鉴定所的服务功能，结合</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专业的课程特点，以</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专业相对应的岗位</w:t>
      </w:r>
      <w:r>
        <w:rPr>
          <w:rFonts w:hint="eastAsia" w:asciiTheme="minorEastAsia" w:hAnsiTheme="minorEastAsia" w:eastAsiaTheme="minorEastAsia"/>
          <w:sz w:val="24"/>
          <w:szCs w:val="24"/>
          <w:lang w:eastAsia="zh-CN"/>
        </w:rPr>
        <w:t>特点，现代物业服务</w:t>
      </w:r>
      <w:r>
        <w:rPr>
          <w:rFonts w:asciiTheme="minorEastAsia" w:hAnsiTheme="minorEastAsia" w:eastAsiaTheme="minorEastAsia"/>
          <w:sz w:val="24"/>
          <w:szCs w:val="24"/>
        </w:rPr>
        <w:t>专业开展职业资格鉴定工作为抓手，认定技能和等级考试的科目，根据技能定级评价，鼓励学生制定技能定级标准和技能定级培训方案等，引进企业技能评价标准和职业资格认证，通过鼓励学生考取行业、企业</w:t>
      </w:r>
      <w:r>
        <w:rPr>
          <w:rFonts w:hint="eastAsia" w:asciiTheme="minorEastAsia" w:hAnsiTheme="minorEastAsia" w:eastAsiaTheme="minorEastAsia"/>
          <w:sz w:val="24"/>
          <w:szCs w:val="24"/>
          <w:lang w:eastAsia="zh-CN"/>
        </w:rPr>
        <w:t>认证</w:t>
      </w:r>
      <w:r>
        <w:rPr>
          <w:rFonts w:asciiTheme="minorEastAsia" w:hAnsiTheme="minorEastAsia" w:eastAsiaTheme="minorEastAsia"/>
          <w:sz w:val="24"/>
          <w:szCs w:val="24"/>
        </w:rPr>
        <w:t>职业资格证书，积极开展“1+X”证书试点工作，实现“以定促学，以定促评”评价模式改革。</w:t>
      </w:r>
    </w:p>
    <w:p w14:paraId="603B2141">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4" w:name="_Toc420"/>
      <w:r>
        <w:rPr>
          <w:rFonts w:hint="eastAsia" w:asciiTheme="minorEastAsia" w:hAnsiTheme="minorEastAsia" w:eastAsiaTheme="minorEastAsia"/>
          <w:sz w:val="24"/>
          <w:szCs w:val="24"/>
        </w:rPr>
        <w:t>5.</w:t>
      </w:r>
      <w:r>
        <w:rPr>
          <w:rFonts w:asciiTheme="minorEastAsia" w:hAnsiTheme="minorEastAsia" w:eastAsiaTheme="minorEastAsia"/>
          <w:sz w:val="24"/>
          <w:szCs w:val="24"/>
        </w:rPr>
        <w:t>企业共同参与学生工学交替实践评价，提升学生综合实践能力</w:t>
      </w:r>
      <w:bookmarkEnd w:id="344"/>
    </w:p>
    <w:p w14:paraId="49A5045F">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专业校企资源优势，依托校内外实训基地，广泛开展学生实训基地见习、工学交替实践，制定学生工学交替实践考核评价细则、优秀实习生评价标准等</w:t>
      </w: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通过校企双方面共同评价学生工学交替实习的</w:t>
      </w:r>
      <w:r>
        <w:rPr>
          <w:rFonts w:hint="eastAsia" w:asciiTheme="minorEastAsia" w:hAnsiTheme="minorEastAsia" w:eastAsiaTheme="minorEastAsia"/>
          <w:sz w:val="24"/>
          <w:szCs w:val="24"/>
          <w:lang w:eastAsia="zh-CN"/>
        </w:rPr>
        <w:t>质效</w:t>
      </w:r>
      <w:r>
        <w:rPr>
          <w:rFonts w:asciiTheme="minorEastAsia" w:hAnsiTheme="minorEastAsia" w:eastAsiaTheme="minorEastAsia"/>
          <w:sz w:val="24"/>
          <w:szCs w:val="24"/>
        </w:rPr>
        <w:t>。</w:t>
      </w:r>
    </w:p>
    <w:p w14:paraId="47E60B9F">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345" w:name="_Toc16743"/>
      <w:r>
        <w:rPr>
          <w:rFonts w:hint="eastAsia" w:asciiTheme="minorEastAsia" w:hAnsiTheme="minorEastAsia" w:eastAsiaTheme="minorEastAsia"/>
          <w:sz w:val="24"/>
          <w:szCs w:val="24"/>
        </w:rPr>
        <w:t>6.</w:t>
      </w:r>
      <w:r>
        <w:rPr>
          <w:rFonts w:asciiTheme="minorEastAsia" w:hAnsiTheme="minorEastAsia" w:eastAsiaTheme="minorEastAsia"/>
          <w:sz w:val="24"/>
          <w:szCs w:val="24"/>
        </w:rPr>
        <w:t>加强学生</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跟踪管理，形成多元参与的</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评价机制</w:t>
      </w:r>
      <w:bookmarkEnd w:id="345"/>
    </w:p>
    <w:p w14:paraId="0D87444D">
      <w:pPr>
        <w:keepNext w:val="0"/>
        <w:keepLines w:val="0"/>
        <w:pageBreakBefore w:val="0"/>
        <w:widowControl/>
        <w:kinsoku/>
        <w:wordWrap/>
        <w:topLinePunct w:val="0"/>
        <w:autoSpaceDE/>
        <w:autoSpaceDN/>
        <w:bidi w:val="0"/>
        <w:spacing w:after="0" w:line="440" w:lineRule="exact"/>
        <w:ind w:firstLine="480" w:firstLineChars="200"/>
        <w:textAlignment w:val="auto"/>
        <w:rPr>
          <w:rFonts w:ascii="Calibri Light" w:hAnsi="Calibri Light" w:cs="Times New Roman"/>
          <w:b/>
          <w:bCs/>
        </w:rPr>
      </w:pPr>
      <w:r>
        <w:rPr>
          <w:rFonts w:asciiTheme="minorEastAsia" w:hAnsiTheme="minorEastAsia" w:eastAsiaTheme="minorEastAsia"/>
          <w:sz w:val="24"/>
          <w:szCs w:val="24"/>
        </w:rPr>
        <w:t>创新学生顶岗实习管理机制，完善</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专业校企共同评价学生综合能力的内容和形式。广泛与</w:t>
      </w:r>
      <w:r>
        <w:rPr>
          <w:rFonts w:hint="eastAsia" w:asciiTheme="minorEastAsia" w:hAnsiTheme="minorEastAsia" w:eastAsiaTheme="minorEastAsia"/>
          <w:sz w:val="24"/>
          <w:szCs w:val="24"/>
          <w:lang w:eastAsia="zh-CN"/>
        </w:rPr>
        <w:t>现代物业服务</w:t>
      </w:r>
      <w:r>
        <w:rPr>
          <w:rFonts w:asciiTheme="minorEastAsia" w:hAnsiTheme="minorEastAsia" w:eastAsiaTheme="minorEastAsia"/>
          <w:sz w:val="24"/>
          <w:szCs w:val="24"/>
        </w:rPr>
        <w:t>专业合作企业研讨，制定校企合作协议，学生赴企业顶岗实习管理制度，学生实习就业协议等，完善班主任参与顶岗实习学生管理的相关规定，根据学生顶岗实习成绩评定表，实习总结，企业实习员工评价等相关资料综合评定学生顶岗实习成绩。依托数字化校园环境建设，逐步实现学生顶岗实习远程管理，创新基于网络平台的学生自评、互评、 班主任评价、企业管理者评价等方式。</w:t>
      </w:r>
      <w:bookmarkStart w:id="346" w:name="_Toc103289822"/>
    </w:p>
    <w:p w14:paraId="179B4406">
      <w:pPr>
        <w:keepNext w:val="0"/>
        <w:keepLines w:val="0"/>
        <w:pageBreakBefore w:val="0"/>
        <w:widowControl/>
        <w:kinsoku/>
        <w:wordWrap/>
        <w:overflowPunct w:val="0"/>
        <w:topLinePunct w:val="0"/>
        <w:autoSpaceDE/>
        <w:autoSpaceDN/>
        <w:bidi w:val="0"/>
        <w:adjustRightInd w:val="0"/>
        <w:spacing w:after="0" w:line="440" w:lineRule="exact"/>
        <w:ind w:firstLine="440" w:firstLineChars="200"/>
        <w:textAlignment w:val="auto"/>
        <w:outlineLvl w:val="1"/>
        <w:rPr>
          <w:rFonts w:cs="Times New Roman"/>
          <w:b/>
          <w:bCs/>
          <w:sz w:val="24"/>
          <w:szCs w:val="24"/>
        </w:rPr>
      </w:pPr>
      <w:bookmarkStart w:id="347" w:name="_Toc30394"/>
      <w:bookmarkStart w:id="348" w:name="_Toc103696830"/>
      <w:r>
        <w:rPr>
          <w:rFonts w:hint="eastAsia" w:ascii="Calibri Light" w:hAnsi="Calibri Light" w:cs="Times New Roman"/>
          <w:b/>
          <w:bCs/>
        </w:rPr>
        <w:t>（</w:t>
      </w:r>
      <w:r>
        <w:rPr>
          <w:rFonts w:hint="eastAsia" w:cs="Times New Roman"/>
          <w:b/>
          <w:bCs/>
          <w:sz w:val="24"/>
          <w:szCs w:val="24"/>
          <w:lang w:val="en-US" w:eastAsia="zh-CN"/>
        </w:rPr>
        <w:t>七</w:t>
      </w:r>
      <w:r>
        <w:rPr>
          <w:rFonts w:hint="eastAsia" w:cs="Times New Roman"/>
          <w:b/>
          <w:bCs/>
          <w:sz w:val="24"/>
          <w:szCs w:val="24"/>
        </w:rPr>
        <w:t>）质量管理</w:t>
      </w:r>
      <w:bookmarkEnd w:id="346"/>
      <w:bookmarkEnd w:id="347"/>
      <w:bookmarkEnd w:id="348"/>
    </w:p>
    <w:p w14:paraId="43CB8B52">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1.为落实《国家职业教育改革实施方案》，推进国家教学标准落地实施，提升本专业教育教学质量，根据每年度《职业院校人才培养工作状态数据采集</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职业院校教育质量年报》及甘肃省职业院校教学质量诊断与改进机制等工作要求，学院建立健全专业教学质量监控管理制度，不断完善课堂教学、教学评价、实习实训、毕业设计以及专业调研、人才培养方案更新、资源建设等方</w:t>
      </w:r>
      <w:r>
        <w:rPr>
          <w:rFonts w:hint="eastAsia" w:asciiTheme="minorEastAsia" w:hAnsiTheme="minorEastAsia" w:eastAsiaTheme="minorEastAsia" w:cstheme="minorEastAsia"/>
          <w:sz w:val="24"/>
          <w:szCs w:val="24"/>
          <w:lang w:eastAsia="zh-CN"/>
        </w:rPr>
        <w:t>面的</w:t>
      </w:r>
      <w:r>
        <w:rPr>
          <w:rFonts w:hint="eastAsia" w:asciiTheme="minorEastAsia" w:hAnsiTheme="minorEastAsia" w:eastAsiaTheme="minorEastAsia" w:cstheme="minorEastAsia"/>
          <w:sz w:val="24"/>
          <w:szCs w:val="24"/>
        </w:rPr>
        <w:t>质量标准建设，通过教学实施、过程监控、质量评价和持续改进，达成人才培养规格。</w:t>
      </w:r>
    </w:p>
    <w:p w14:paraId="6A39DD41">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院与二级学院不断修订完善教学管理机制，加强日常教学组织运行与管理，定期开展课程建设水平和教学质量诊断与改进，建立健全巡课、听课、评教等制度，建立与企业联动的实践教学环节督导制度，严明教学纪律，强化教学组织功能，定期开展公开课、示范课等教研活动。</w:t>
      </w:r>
      <w:r>
        <w:rPr>
          <w:rFonts w:asciiTheme="minorEastAsia" w:hAnsiTheme="minorEastAsia" w:eastAsiaTheme="minorEastAsia"/>
          <w:sz w:val="24"/>
          <w:szCs w:val="24"/>
        </w:rPr>
        <w:drawing>
          <wp:anchor distT="0" distB="0" distL="114300" distR="114300" simplePos="0" relativeHeight="251661312" behindDoc="0" locked="0" layoutInCell="1" allowOverlap="1">
            <wp:simplePos x="0" y="0"/>
            <wp:positionH relativeFrom="margin">
              <wp:posOffset>88900</wp:posOffset>
            </wp:positionH>
            <wp:positionV relativeFrom="paragraph">
              <wp:posOffset>595630</wp:posOffset>
            </wp:positionV>
            <wp:extent cx="5454650" cy="2942590"/>
            <wp:effectExtent l="0" t="0" r="1270" b="6350"/>
            <wp:wrapTopAndBottom/>
            <wp:docPr id="7" name="图片 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10;&#10;描述已自动生成"/>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454650" cy="2942590"/>
                    </a:xfrm>
                    <a:prstGeom prst="rect">
                      <a:avLst/>
                    </a:prstGeom>
                  </pic:spPr>
                </pic:pic>
              </a:graphicData>
            </a:graphic>
          </wp:anchor>
        </w:drawing>
      </w:r>
    </w:p>
    <w:p w14:paraId="1D4F6868">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3.学院与二级学院共同合作，建立毕业生跟踪反馈机制及社会评价机制，并对生源情况、在校生学业水平、毕业生就业情况等进行分析，定期评价人才培养质量和培养目标达成情况。</w:t>
      </w:r>
    </w:p>
    <w:p w14:paraId="41B13EEF">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各专业教学部或专业教研积极参与教学质量诊断与改进工作，充分利用人才培养工作状态数据、质量年报、诊断与改进等评价分析结果，根据产业发展趋势和行业人才需求，引进行业企业、第三方评价机构等多方参与的专业人才培养方案动态调整机制，强化教师参与教学和课程改革的效果评价与激励，做好人才培养质量评价与反馈，持续提高</w:t>
      </w:r>
      <w:r>
        <w:rPr>
          <w:rFonts w:hint="eastAsia" w:asciiTheme="minorEastAsia" w:hAnsiTheme="minorEastAsia" w:eastAsiaTheme="minorEastAsia" w:cstheme="minorEastAsia"/>
          <w:kern w:val="2"/>
          <w:sz w:val="24"/>
          <w:szCs w:val="24"/>
        </w:rPr>
        <w:t>人才</w:t>
      </w:r>
      <w:r>
        <w:rPr>
          <w:rFonts w:hint="eastAsia" w:asciiTheme="minorEastAsia" w:hAnsiTheme="minorEastAsia" w:eastAsiaTheme="minorEastAsia" w:cstheme="minorEastAsia"/>
          <w:sz w:val="24"/>
          <w:szCs w:val="24"/>
        </w:rPr>
        <w:t>培养质量。</w:t>
      </w:r>
    </w:p>
    <w:p w14:paraId="2038E3BA">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349" w:name="_Toc10140"/>
      <w:r>
        <w:rPr>
          <w:rFonts w:hint="eastAsia"/>
          <w:b/>
          <w:bCs/>
          <w:sz w:val="28"/>
          <w:szCs w:val="28"/>
          <w:lang w:val="en-US" w:eastAsia="zh-CN"/>
        </w:rPr>
        <w:t>八</w:t>
      </w:r>
      <w:r>
        <w:rPr>
          <w:rFonts w:hint="eastAsia"/>
          <w:b/>
          <w:bCs/>
          <w:sz w:val="28"/>
          <w:szCs w:val="28"/>
        </w:rPr>
        <w:t>、</w:t>
      </w:r>
      <w:r>
        <w:rPr>
          <w:b/>
          <w:bCs/>
          <w:sz w:val="28"/>
          <w:szCs w:val="28"/>
        </w:rPr>
        <w:t>毕业要求</w:t>
      </w:r>
      <w:bookmarkEnd w:id="336"/>
      <w:bookmarkEnd w:id="337"/>
      <w:bookmarkEnd w:id="338"/>
      <w:bookmarkEnd w:id="339"/>
      <w:bookmarkEnd w:id="349"/>
    </w:p>
    <w:p w14:paraId="01FBDCD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350" w:name="_Toc22099"/>
      <w:bookmarkStart w:id="351" w:name="_Toc3962"/>
      <w:bookmarkStart w:id="352" w:name="_Toc429"/>
      <w:r>
        <w:rPr>
          <w:rFonts w:hint="eastAsia" w:asciiTheme="minorEastAsia" w:hAnsiTheme="minorEastAsia" w:eastAsiaTheme="minorEastAsia"/>
          <w:smallCaps w:val="0"/>
          <w:spacing w:val="0"/>
          <w:sz w:val="24"/>
          <w:szCs w:val="24"/>
        </w:rPr>
        <w:t>根据</w:t>
      </w:r>
      <w:r>
        <w:rPr>
          <w:rFonts w:hint="eastAsia" w:asciiTheme="minorEastAsia" w:hAnsiTheme="minorEastAsia" w:eastAsiaTheme="minorEastAsia"/>
          <w:smallCaps w:val="0"/>
          <w:spacing w:val="0"/>
          <w:sz w:val="24"/>
          <w:szCs w:val="24"/>
          <w:lang w:eastAsia="zh-CN"/>
        </w:rPr>
        <w:t>现代物业管理</w:t>
      </w:r>
      <w:r>
        <w:rPr>
          <w:rFonts w:hint="eastAsia" w:asciiTheme="minorEastAsia" w:hAnsiTheme="minorEastAsia" w:eastAsiaTheme="minorEastAsia"/>
          <w:smallCaps w:val="0"/>
          <w:spacing w:val="0"/>
          <w:sz w:val="24"/>
          <w:szCs w:val="24"/>
        </w:rPr>
        <w:t>人才培养方案规定，学生毕业需达到以下要求：</w:t>
      </w:r>
      <w:bookmarkEnd w:id="350"/>
      <w:bookmarkEnd w:id="351"/>
      <w:bookmarkEnd w:id="352"/>
    </w:p>
    <w:p w14:paraId="67365FA4">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asciiTheme="minorEastAsia" w:hAnsiTheme="minorEastAsia" w:eastAsiaTheme="minorEastAsia"/>
          <w:smallCaps w:val="0"/>
          <w:spacing w:val="0"/>
          <w:sz w:val="24"/>
          <w:szCs w:val="24"/>
        </w:rPr>
      </w:pPr>
      <w:bookmarkStart w:id="353" w:name="_Toc10826"/>
      <w:r>
        <w:rPr>
          <w:rFonts w:hint="eastAsia" w:asciiTheme="minorEastAsia" w:hAnsiTheme="minorEastAsia" w:eastAsiaTheme="minorEastAsia"/>
          <w:smallCaps w:val="0"/>
          <w:spacing w:val="0"/>
          <w:sz w:val="24"/>
          <w:szCs w:val="24"/>
        </w:rPr>
        <w:t>（一）学时学分及成绩要求：</w:t>
      </w:r>
      <w:bookmarkEnd w:id="353"/>
    </w:p>
    <w:p w14:paraId="099E6B09">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354" w:name="_Toc21296"/>
      <w:bookmarkStart w:id="355" w:name="_Toc24956"/>
      <w:bookmarkStart w:id="356" w:name="_Toc14718"/>
      <w:r>
        <w:rPr>
          <w:rFonts w:hint="eastAsia" w:asciiTheme="minorEastAsia" w:hAnsiTheme="minorEastAsia" w:eastAsiaTheme="minorEastAsia"/>
          <w:smallCaps w:val="0"/>
          <w:spacing w:val="0"/>
          <w:sz w:val="24"/>
          <w:szCs w:val="24"/>
        </w:rPr>
        <w:t>学生必须完成不低于2500学时的教育教学活动，各门功课考核合格，至少考取一个与本专业相关的职业资格证书，修满不低于15</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学分的总学分，其中必修学分不低于130，选修学分或专业拓展项目替代学分不低于2</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w:t>
      </w:r>
      <w:bookmarkEnd w:id="354"/>
      <w:bookmarkEnd w:id="355"/>
      <w:bookmarkEnd w:id="356"/>
    </w:p>
    <w:p w14:paraId="7064C28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bookmarkStart w:id="357" w:name="_Toc26709"/>
      <w:r>
        <w:rPr>
          <w:rFonts w:hint="eastAsia" w:asciiTheme="minorEastAsia" w:hAnsiTheme="minorEastAsia" w:eastAsiaTheme="minorEastAsia"/>
          <w:smallCaps w:val="0"/>
          <w:spacing w:val="0"/>
          <w:sz w:val="24"/>
          <w:szCs w:val="24"/>
        </w:rPr>
        <w:t>（二）基础素养能力要求</w:t>
      </w:r>
      <w:bookmarkEnd w:id="357"/>
    </w:p>
    <w:p w14:paraId="32742A87">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58" w:name="_Toc15725"/>
      <w:bookmarkStart w:id="359" w:name="_Toc27595"/>
      <w:bookmarkStart w:id="360" w:name="_Toc19133"/>
      <w:r>
        <w:rPr>
          <w:rFonts w:hint="eastAsia" w:asciiTheme="minorEastAsia" w:hAnsiTheme="minorEastAsia" w:eastAsiaTheme="minorEastAsia"/>
          <w:smallCaps w:val="0"/>
          <w:spacing w:val="0"/>
          <w:sz w:val="24"/>
          <w:szCs w:val="24"/>
        </w:rPr>
        <w:t>1.具有良好的思想道德和职业道德修养。</w:t>
      </w:r>
      <w:bookmarkEnd w:id="358"/>
      <w:bookmarkEnd w:id="359"/>
      <w:bookmarkEnd w:id="360"/>
    </w:p>
    <w:p w14:paraId="7CD47A32">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61" w:name="_Toc12102"/>
      <w:bookmarkStart w:id="362" w:name="_Toc29804"/>
      <w:bookmarkStart w:id="363" w:name="_Toc19380"/>
      <w:r>
        <w:rPr>
          <w:rFonts w:hint="eastAsia" w:asciiTheme="minorEastAsia" w:hAnsiTheme="minorEastAsia" w:eastAsiaTheme="minorEastAsia"/>
          <w:smallCaps w:val="0"/>
          <w:spacing w:val="0"/>
          <w:sz w:val="24"/>
          <w:szCs w:val="24"/>
        </w:rPr>
        <w:t>2.具有良好的文化修养。</w:t>
      </w:r>
      <w:bookmarkEnd w:id="361"/>
      <w:bookmarkEnd w:id="362"/>
      <w:bookmarkEnd w:id="363"/>
    </w:p>
    <w:p w14:paraId="2A02F0F0">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64" w:name="_Toc19090"/>
      <w:bookmarkStart w:id="365" w:name="_Toc24170"/>
      <w:bookmarkStart w:id="366" w:name="_Toc4873"/>
      <w:r>
        <w:rPr>
          <w:rFonts w:hint="eastAsia" w:asciiTheme="minorEastAsia" w:hAnsiTheme="minorEastAsia" w:eastAsiaTheme="minorEastAsia"/>
          <w:smallCaps w:val="0"/>
          <w:spacing w:val="0"/>
          <w:sz w:val="24"/>
          <w:szCs w:val="24"/>
        </w:rPr>
        <w:t>3.具有良好的身体素质。</w:t>
      </w:r>
      <w:bookmarkEnd w:id="364"/>
      <w:bookmarkEnd w:id="365"/>
      <w:bookmarkEnd w:id="366"/>
    </w:p>
    <w:p w14:paraId="63007DC4">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67" w:name="_Toc14885"/>
      <w:bookmarkStart w:id="368" w:name="_Toc10476"/>
      <w:bookmarkStart w:id="369" w:name="_Toc30992"/>
      <w:r>
        <w:rPr>
          <w:rFonts w:hint="eastAsia" w:asciiTheme="minorEastAsia" w:hAnsiTheme="minorEastAsia" w:eastAsiaTheme="minorEastAsia"/>
          <w:smallCaps w:val="0"/>
          <w:spacing w:val="0"/>
          <w:sz w:val="24"/>
          <w:szCs w:val="24"/>
        </w:rPr>
        <w:t>4.具有良好的心理素质。</w:t>
      </w:r>
      <w:bookmarkEnd w:id="367"/>
      <w:bookmarkEnd w:id="368"/>
      <w:bookmarkEnd w:id="369"/>
    </w:p>
    <w:p w14:paraId="04C82820">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rFonts w:hint="eastAsia" w:asciiTheme="minorEastAsia" w:hAnsiTheme="minorEastAsia" w:eastAsiaTheme="minorEastAsia"/>
          <w:smallCaps w:val="0"/>
          <w:spacing w:val="0"/>
          <w:sz w:val="24"/>
          <w:szCs w:val="24"/>
        </w:rPr>
      </w:pPr>
      <w:bookmarkStart w:id="370" w:name="_Toc26656"/>
      <w:r>
        <w:rPr>
          <w:rFonts w:hint="eastAsia" w:asciiTheme="minorEastAsia" w:hAnsiTheme="minorEastAsia" w:eastAsiaTheme="minorEastAsia"/>
          <w:smallCaps w:val="0"/>
          <w:spacing w:val="0"/>
          <w:sz w:val="24"/>
          <w:szCs w:val="24"/>
        </w:rPr>
        <w:t>（三）职业能力要求</w:t>
      </w:r>
    </w:p>
    <w:p w14:paraId="171E1100">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1.</w:t>
      </w:r>
      <w:r>
        <w:rPr>
          <w:rFonts w:hint="eastAsia" w:asciiTheme="minorEastAsia" w:hAnsiTheme="minorEastAsia" w:eastAsiaTheme="minorEastAsia"/>
          <w:smallCaps w:val="0"/>
          <w:spacing w:val="0"/>
          <w:sz w:val="24"/>
          <w:szCs w:val="24"/>
        </w:rPr>
        <w:t>具备现代物业服务方案设计能力，包括物业空间规划能力、设施设备布局设计能力、智慧物业系统集成设计能力等现代物业服务设计能力；</w:t>
      </w:r>
    </w:p>
    <w:p w14:paraId="6F266E17">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2.</w:t>
      </w:r>
      <w:r>
        <w:rPr>
          <w:rFonts w:hint="eastAsia" w:asciiTheme="minorEastAsia" w:hAnsiTheme="minorEastAsia" w:eastAsiaTheme="minorEastAsia"/>
          <w:smallCaps w:val="0"/>
          <w:spacing w:val="0"/>
          <w:sz w:val="24"/>
          <w:szCs w:val="24"/>
        </w:rPr>
        <w:t>具备现代物业服务实施能力，包括物业设施安装调试能力、智能系统施工监管能力、工程现场管理能力等现代物业服务施工能力；</w:t>
      </w:r>
    </w:p>
    <w:p w14:paraId="6588CBC1">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3.</w:t>
      </w:r>
      <w:r>
        <w:rPr>
          <w:rFonts w:hint="eastAsia" w:asciiTheme="minorEastAsia" w:hAnsiTheme="minorEastAsia" w:eastAsiaTheme="minorEastAsia"/>
          <w:smallCaps w:val="0"/>
          <w:spacing w:val="0"/>
          <w:sz w:val="24"/>
          <w:szCs w:val="24"/>
        </w:rPr>
        <w:t>具备智慧物业系统规划与设计能力，掌握物联网设备配置技术、能耗管理系统调试技术、智能安防系统集成技术；</w:t>
      </w:r>
    </w:p>
    <w:p w14:paraId="023EB34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4.</w:t>
      </w:r>
      <w:r>
        <w:rPr>
          <w:rFonts w:hint="eastAsia" w:asciiTheme="minorEastAsia" w:hAnsiTheme="minorEastAsia" w:eastAsiaTheme="minorEastAsia"/>
          <w:smallCaps w:val="0"/>
          <w:spacing w:val="0"/>
          <w:sz w:val="24"/>
          <w:szCs w:val="24"/>
        </w:rPr>
        <w:t>具备现代物业服务运维能力，包括设施设备日常维护能力、智慧平台操作能力、系统故障诊断与排除能力等现代物业服务维护能力。</w:t>
      </w:r>
    </w:p>
    <w:p w14:paraId="2B264465">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rPr>
        <w:t>（四）跨行业职业能力</w:t>
      </w:r>
    </w:p>
    <w:p w14:paraId="4EADF8E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1.</w:t>
      </w:r>
      <w:r>
        <w:rPr>
          <w:rFonts w:hint="eastAsia" w:asciiTheme="minorEastAsia" w:hAnsiTheme="minorEastAsia" w:eastAsiaTheme="minorEastAsia"/>
          <w:smallCaps w:val="0"/>
          <w:spacing w:val="0"/>
          <w:sz w:val="24"/>
          <w:szCs w:val="24"/>
        </w:rPr>
        <w:t>具有多元化就业适应能力，毕业生可胜任物业项目管理、社区运营、设施管理等岗位工作；</w:t>
      </w:r>
    </w:p>
    <w:p w14:paraId="2922CCA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2.</w:t>
      </w:r>
      <w:r>
        <w:rPr>
          <w:rFonts w:hint="eastAsia" w:asciiTheme="minorEastAsia" w:hAnsiTheme="minorEastAsia" w:eastAsiaTheme="minorEastAsia"/>
          <w:smallCaps w:val="0"/>
          <w:spacing w:val="0"/>
          <w:sz w:val="24"/>
          <w:szCs w:val="24"/>
        </w:rPr>
        <w:t>具备市场拓展与商业策划能力，能够从事物业增值服务开发、社区商业运营、智能家居产品推广等工作；</w:t>
      </w:r>
    </w:p>
    <w:p w14:paraId="67CEDF2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3.</w:t>
      </w:r>
      <w:r>
        <w:rPr>
          <w:rFonts w:hint="eastAsia" w:asciiTheme="minorEastAsia" w:hAnsiTheme="minorEastAsia" w:eastAsiaTheme="minorEastAsia"/>
          <w:smallCaps w:val="0"/>
          <w:spacing w:val="0"/>
          <w:sz w:val="24"/>
          <w:szCs w:val="24"/>
        </w:rPr>
        <w:t>掌握数字化管理工具应用能力，可向房地产经营、城市服务管理等关联领域发展；</w:t>
      </w:r>
    </w:p>
    <w:p w14:paraId="1CF590DD">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hint="eastAsia"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lang w:val="en-US" w:eastAsia="zh-CN"/>
        </w:rPr>
        <w:t>4.</w:t>
      </w:r>
      <w:r>
        <w:rPr>
          <w:rFonts w:hint="eastAsia" w:asciiTheme="minorEastAsia" w:hAnsiTheme="minorEastAsia" w:eastAsiaTheme="minorEastAsia"/>
          <w:smallCaps w:val="0"/>
          <w:spacing w:val="0"/>
          <w:sz w:val="24"/>
          <w:szCs w:val="24"/>
        </w:rPr>
        <w:t>具备可持续发展理念，能从事绿色建筑咨询、物业能源管理等新兴领域工作。</w:t>
      </w:r>
    </w:p>
    <w:p w14:paraId="2C00F8EA">
      <w:pPr>
        <w:pStyle w:val="2"/>
        <w:keepNext w:val="0"/>
        <w:keepLines w:val="0"/>
        <w:pageBreakBefore w:val="0"/>
        <w:widowControl/>
        <w:kinsoku/>
        <w:wordWrap/>
        <w:topLinePunct w:val="0"/>
        <w:autoSpaceDE/>
        <w:autoSpaceDN/>
        <w:bidi w:val="0"/>
        <w:snapToGrid w:val="0"/>
        <w:spacing w:before="0" w:after="0" w:line="440" w:lineRule="exact"/>
        <w:ind w:firstLine="580" w:firstLineChars="200"/>
        <w:jc w:val="both"/>
        <w:textAlignment w:val="auto"/>
        <w:rPr>
          <w:b/>
          <w:bCs/>
          <w:sz w:val="28"/>
          <w:szCs w:val="28"/>
        </w:rPr>
      </w:pPr>
      <w:r>
        <w:rPr>
          <w:rFonts w:hint="eastAsia"/>
          <w:b/>
          <w:bCs/>
          <w:sz w:val="28"/>
          <w:szCs w:val="28"/>
          <w:lang w:val="en-US" w:eastAsia="zh-CN"/>
        </w:rPr>
        <w:t>九</w:t>
      </w:r>
      <w:r>
        <w:rPr>
          <w:b/>
          <w:bCs/>
          <w:sz w:val="28"/>
          <w:szCs w:val="28"/>
        </w:rPr>
        <w:t>、附录</w:t>
      </w:r>
      <w:bookmarkEnd w:id="370"/>
    </w:p>
    <w:p w14:paraId="039F4BB2">
      <w:pPr>
        <w:pStyle w:val="3"/>
        <w:keepNext w:val="0"/>
        <w:keepLines w:val="0"/>
        <w:pageBreakBefore w:val="0"/>
        <w:widowControl/>
        <w:kinsoku/>
        <w:wordWrap/>
        <w:topLinePunct w:val="0"/>
        <w:autoSpaceDE/>
        <w:autoSpaceDN/>
        <w:bidi w:val="0"/>
        <w:spacing w:after="0" w:line="440" w:lineRule="exact"/>
        <w:ind w:firstLine="482"/>
        <w:textAlignment w:val="auto"/>
        <w:outlineLvl w:val="0"/>
        <w:rPr>
          <w:rFonts w:hint="eastAsia"/>
        </w:rPr>
      </w:pPr>
      <w:bookmarkStart w:id="371" w:name="_Toc21285"/>
      <w:bookmarkStart w:id="372" w:name="_Toc8935"/>
      <w:bookmarkStart w:id="373" w:name="_Toc17707"/>
      <w:r>
        <w:rPr>
          <w:rFonts w:hint="eastAsia"/>
        </w:rPr>
        <w:t>附表1：</w:t>
      </w:r>
      <w:r>
        <w:rPr>
          <w:rFonts w:hint="eastAsia"/>
          <w:lang w:eastAsia="zh-CN"/>
        </w:rPr>
        <w:t>现代物业服务</w:t>
      </w:r>
      <w:r>
        <w:rPr>
          <w:rFonts w:hint="eastAsia"/>
        </w:rPr>
        <w:t>教学进程安</w:t>
      </w:r>
      <w:bookmarkStart w:id="374" w:name="_Toc77884812"/>
      <w:bookmarkStart w:id="375" w:name="_Toc77885014"/>
      <w:bookmarkStart w:id="376" w:name="_Toc1110"/>
      <w:bookmarkStart w:id="377" w:name="_Toc4244"/>
      <w:r>
        <w:rPr>
          <w:rFonts w:hint="eastAsia"/>
        </w:rPr>
        <w:t>排表</w:t>
      </w:r>
      <w:bookmarkEnd w:id="371"/>
      <w:bookmarkEnd w:id="372"/>
      <w:bookmarkEnd w:id="373"/>
    </w:p>
    <w:p w14:paraId="1A92C091">
      <w:pPr>
        <w:rPr>
          <w:rFonts w:hint="eastAsia"/>
        </w:rPr>
      </w:pPr>
    </w:p>
    <w:p w14:paraId="3AE1A1F8">
      <w:pPr>
        <w:rPr>
          <w:rFonts w:hint="eastAsia"/>
        </w:rPr>
      </w:pPr>
    </w:p>
    <w:p w14:paraId="39EFE34B">
      <w:pPr>
        <w:rPr>
          <w:rFonts w:hint="eastAsia"/>
        </w:rPr>
      </w:pPr>
    </w:p>
    <w:p w14:paraId="7414FDE9">
      <w:pPr>
        <w:rPr>
          <w:rFonts w:hint="eastAsia"/>
        </w:rPr>
      </w:pPr>
    </w:p>
    <w:p w14:paraId="4B6F7909">
      <w:pPr>
        <w:rPr>
          <w:rFonts w:hint="eastAsia"/>
        </w:rPr>
      </w:pPr>
    </w:p>
    <w:p w14:paraId="7FCB81B2">
      <w:pPr>
        <w:rPr>
          <w:rFonts w:hint="eastAsia"/>
        </w:rPr>
      </w:pPr>
    </w:p>
    <w:p w14:paraId="004DBC6A">
      <w:pPr>
        <w:rPr>
          <w:rFonts w:hint="eastAsia"/>
        </w:rPr>
      </w:pPr>
    </w:p>
    <w:p w14:paraId="7A5B1A26">
      <w:pPr>
        <w:rPr>
          <w:rFonts w:hint="eastAsia"/>
        </w:rPr>
      </w:pPr>
    </w:p>
    <w:p w14:paraId="4C9562E2">
      <w:pPr>
        <w:rPr>
          <w:rFonts w:hint="eastAsia"/>
        </w:rPr>
      </w:pPr>
    </w:p>
    <w:p w14:paraId="483C78EA">
      <w:pPr>
        <w:rPr>
          <w:rFonts w:hint="eastAsia"/>
        </w:rPr>
      </w:pPr>
    </w:p>
    <w:bookmarkEnd w:id="374"/>
    <w:bookmarkEnd w:id="375"/>
    <w:bookmarkEnd w:id="376"/>
    <w:bookmarkEnd w:id="377"/>
    <w:tbl>
      <w:tblPr>
        <w:tblStyle w:val="14"/>
        <w:tblpPr w:leftFromText="180" w:rightFromText="180" w:vertAnchor="text" w:horzAnchor="page" w:tblpX="1165" w:tblpY="670"/>
        <w:tblOverlap w:val="never"/>
        <w:tblW w:w="9270"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1"/>
        <w:gridCol w:w="14"/>
        <w:gridCol w:w="404"/>
        <w:gridCol w:w="1426"/>
        <w:gridCol w:w="651"/>
        <w:gridCol w:w="413"/>
        <w:gridCol w:w="581"/>
        <w:gridCol w:w="619"/>
        <w:gridCol w:w="602"/>
        <w:gridCol w:w="569"/>
        <w:gridCol w:w="504"/>
        <w:gridCol w:w="535"/>
        <w:gridCol w:w="535"/>
        <w:gridCol w:w="501"/>
        <w:gridCol w:w="584"/>
        <w:gridCol w:w="469"/>
        <w:gridCol w:w="522"/>
      </w:tblGrid>
      <w:tr w14:paraId="3B5809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9270" w:type="dxa"/>
            <w:gridSpan w:val="17"/>
            <w:tcBorders>
              <w:top w:val="nil"/>
              <w:left w:val="nil"/>
              <w:bottom w:val="thinThickSmallGap" w:color="000000" w:sz="12" w:space="0"/>
              <w:right w:val="nil"/>
              <w:tl2br w:val="nil"/>
              <w:tr2bl w:val="nil"/>
            </w:tcBorders>
            <w:shd w:val="clear" w:color="auto" w:fill="auto"/>
            <w:vAlign w:val="center"/>
          </w:tcPr>
          <w:p w14:paraId="44C30143">
            <w:pPr>
              <w:spacing w:after="0" w:line="480" w:lineRule="exact"/>
              <w:ind w:firstLine="2800" w:firstLineChars="1000"/>
              <w:jc w:val="both"/>
              <w:rPr>
                <w:rFonts w:hint="default" w:ascii="宋体" w:hAnsi="宋体" w:eastAsia="方正公文小标宋" w:cs="宋体"/>
                <w:sz w:val="21"/>
                <w:szCs w:val="21"/>
                <w:highlight w:val="none"/>
                <w:lang w:val="en-US" w:eastAsia="zh-CN"/>
              </w:rPr>
            </w:pPr>
            <w:bookmarkStart w:id="378" w:name="OLE_LINK3"/>
            <w:r>
              <w:rPr>
                <w:rFonts w:hint="eastAsia" w:ascii="方正公文小标宋" w:hAnsi="方正公文小标宋" w:eastAsia="方正公文小标宋" w:cs="方正公文小标宋"/>
                <w:b/>
                <w:bCs w:val="0"/>
                <w:sz w:val="28"/>
                <w:szCs w:val="28"/>
                <w:highlight w:val="none"/>
                <w:shd w:val="clear"/>
              </w:rPr>
              <w:t>专业教学进程安排表</w:t>
            </w:r>
            <w:r>
              <w:rPr>
                <w:rFonts w:hint="eastAsia" w:ascii="方正公文小标宋" w:hAnsi="方正公文小标宋" w:eastAsia="方正公文小标宋" w:cs="方正公文小标宋"/>
                <w:b/>
                <w:bCs w:val="0"/>
                <w:sz w:val="28"/>
                <w:szCs w:val="28"/>
                <w:highlight w:val="none"/>
                <w:shd w:val="clear"/>
                <w:lang w:val="en-US" w:eastAsia="zh-CN"/>
              </w:rPr>
              <w:t>模板</w:t>
            </w:r>
            <w:bookmarkEnd w:id="378"/>
          </w:p>
        </w:tc>
      </w:tr>
      <w:tr w14:paraId="0BBBBCC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59" w:type="dxa"/>
            <w:gridSpan w:val="3"/>
            <w:vMerge w:val="restart"/>
            <w:tcBorders>
              <w:top w:val="thinThickSmallGap" w:color="000000" w:sz="12" w:space="0"/>
              <w:left w:val="thinThickSmallGap" w:color="000000" w:sz="12" w:space="0"/>
              <w:bottom w:val="nil"/>
            </w:tcBorders>
            <w:shd w:val="clear" w:color="auto" w:fill="D1FDFE"/>
            <w:vAlign w:val="center"/>
          </w:tcPr>
          <w:p w14:paraId="79D6DC86">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课程类型</w:t>
            </w:r>
          </w:p>
        </w:tc>
        <w:tc>
          <w:tcPr>
            <w:tcW w:w="1426" w:type="dxa"/>
            <w:vMerge w:val="restart"/>
            <w:tcBorders>
              <w:top w:val="thinThickSmallGap" w:color="000000" w:sz="12" w:space="0"/>
              <w:bottom w:val="nil"/>
            </w:tcBorders>
            <w:shd w:val="clear" w:color="auto" w:fill="D1FDFE"/>
            <w:vAlign w:val="center"/>
          </w:tcPr>
          <w:p w14:paraId="74A99B88">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课程名称</w:t>
            </w:r>
          </w:p>
        </w:tc>
        <w:tc>
          <w:tcPr>
            <w:tcW w:w="651" w:type="dxa"/>
            <w:vMerge w:val="restart"/>
            <w:tcBorders>
              <w:top w:val="thinThickSmallGap" w:color="000000" w:sz="12" w:space="0"/>
              <w:bottom w:val="nil"/>
            </w:tcBorders>
            <w:shd w:val="clear" w:color="auto" w:fill="D1FDFE"/>
            <w:vAlign w:val="center"/>
          </w:tcPr>
          <w:p w14:paraId="2DD26CE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w:t>
            </w:r>
          </w:p>
        </w:tc>
        <w:tc>
          <w:tcPr>
            <w:tcW w:w="413" w:type="dxa"/>
            <w:vMerge w:val="restart"/>
            <w:tcBorders>
              <w:top w:val="thinThickSmallGap" w:color="000000" w:sz="12" w:space="0"/>
              <w:bottom w:val="nil"/>
            </w:tcBorders>
            <w:shd w:val="clear" w:color="auto" w:fill="D1FDFE"/>
            <w:vAlign w:val="center"/>
          </w:tcPr>
          <w:p w14:paraId="4861C79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学分</w:t>
            </w:r>
          </w:p>
        </w:tc>
        <w:tc>
          <w:tcPr>
            <w:tcW w:w="581" w:type="dxa"/>
            <w:vMerge w:val="restart"/>
            <w:tcBorders>
              <w:top w:val="thinThickSmallGap" w:color="000000" w:sz="12" w:space="0"/>
              <w:bottom w:val="nil"/>
              <w:right w:val="single" w:color="000000" w:sz="4" w:space="0"/>
            </w:tcBorders>
            <w:shd w:val="clear" w:color="auto" w:fill="D1FDFE"/>
            <w:vAlign w:val="center"/>
          </w:tcPr>
          <w:p w14:paraId="4ACBB69B">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周学时</w:t>
            </w:r>
          </w:p>
        </w:tc>
        <w:tc>
          <w:tcPr>
            <w:tcW w:w="1221" w:type="dxa"/>
            <w:gridSpan w:val="2"/>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7D8E11B7">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学时分配</w:t>
            </w:r>
          </w:p>
        </w:tc>
        <w:tc>
          <w:tcPr>
            <w:tcW w:w="3228" w:type="dxa"/>
            <w:gridSpan w:val="6"/>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63358807">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rPr>
              <w:t>学年、学期及周学时</w:t>
            </w:r>
          </w:p>
        </w:tc>
        <w:tc>
          <w:tcPr>
            <w:tcW w:w="991" w:type="dxa"/>
            <w:gridSpan w:val="2"/>
            <w:tcBorders>
              <w:top w:val="thinThickSmallGap" w:color="000000" w:sz="12" w:space="0"/>
              <w:left w:val="single" w:color="000000" w:sz="4" w:space="0"/>
              <w:bottom w:val="single" w:color="000000" w:sz="4" w:space="0"/>
              <w:right w:val="thinThickSmallGap" w:color="000000" w:sz="12" w:space="0"/>
            </w:tcBorders>
            <w:shd w:val="clear" w:color="auto" w:fill="D1FDFE"/>
            <w:noWrap/>
            <w:vAlign w:val="center"/>
          </w:tcPr>
          <w:p w14:paraId="21AA3434">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考核</w:t>
            </w:r>
          </w:p>
        </w:tc>
      </w:tr>
      <w:tr w14:paraId="515C597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759" w:type="dxa"/>
            <w:gridSpan w:val="3"/>
            <w:vMerge w:val="continue"/>
            <w:tcBorders>
              <w:top w:val="nil"/>
              <w:left w:val="thinThickSmallGap" w:color="000000" w:sz="12" w:space="0"/>
            </w:tcBorders>
            <w:shd w:val="clear" w:color="auto" w:fill="D1FDFE"/>
            <w:vAlign w:val="center"/>
          </w:tcPr>
          <w:p w14:paraId="685EDB6E">
            <w:pPr>
              <w:adjustRightInd w:val="0"/>
              <w:snapToGrid w:val="0"/>
              <w:spacing w:after="0" w:line="240" w:lineRule="auto"/>
              <w:rPr>
                <w:rFonts w:hint="eastAsia" w:ascii="宋体" w:hAnsi="宋体" w:eastAsia="宋体" w:cs="宋体"/>
                <w:b/>
                <w:bCs/>
                <w:sz w:val="21"/>
                <w:szCs w:val="21"/>
                <w:highlight w:val="none"/>
                <w:lang w:val="en-US" w:eastAsia="zh-CN"/>
              </w:rPr>
            </w:pPr>
          </w:p>
        </w:tc>
        <w:tc>
          <w:tcPr>
            <w:tcW w:w="1426" w:type="dxa"/>
            <w:vMerge w:val="continue"/>
            <w:tcBorders>
              <w:top w:val="nil"/>
            </w:tcBorders>
            <w:shd w:val="clear" w:color="auto" w:fill="D1FDFE"/>
            <w:vAlign w:val="center"/>
          </w:tcPr>
          <w:p w14:paraId="04DCD318">
            <w:pPr>
              <w:adjustRightInd w:val="0"/>
              <w:snapToGrid w:val="0"/>
              <w:spacing w:after="0" w:line="240" w:lineRule="auto"/>
              <w:rPr>
                <w:rFonts w:hint="eastAsia" w:ascii="宋体" w:hAnsi="宋体" w:eastAsia="宋体" w:cs="宋体"/>
                <w:b/>
                <w:bCs/>
                <w:sz w:val="21"/>
                <w:szCs w:val="21"/>
                <w:highlight w:val="none"/>
              </w:rPr>
            </w:pPr>
          </w:p>
        </w:tc>
        <w:tc>
          <w:tcPr>
            <w:tcW w:w="651" w:type="dxa"/>
            <w:vMerge w:val="continue"/>
            <w:tcBorders>
              <w:top w:val="nil"/>
            </w:tcBorders>
            <w:shd w:val="clear" w:color="auto" w:fill="D1FDFE"/>
            <w:vAlign w:val="center"/>
          </w:tcPr>
          <w:p w14:paraId="58B2CB50">
            <w:pPr>
              <w:adjustRightInd w:val="0"/>
              <w:snapToGrid w:val="0"/>
              <w:spacing w:after="0" w:line="240" w:lineRule="auto"/>
              <w:jc w:val="center"/>
              <w:rPr>
                <w:rFonts w:hint="eastAsia" w:ascii="宋体" w:hAnsi="宋体" w:eastAsia="宋体" w:cs="宋体"/>
                <w:b/>
                <w:bCs/>
                <w:sz w:val="21"/>
                <w:szCs w:val="21"/>
                <w:highlight w:val="none"/>
              </w:rPr>
            </w:pPr>
          </w:p>
        </w:tc>
        <w:tc>
          <w:tcPr>
            <w:tcW w:w="413" w:type="dxa"/>
            <w:vMerge w:val="continue"/>
            <w:tcBorders>
              <w:top w:val="nil"/>
            </w:tcBorders>
            <w:shd w:val="clear" w:color="auto" w:fill="D1FDFE"/>
            <w:vAlign w:val="center"/>
          </w:tcPr>
          <w:p w14:paraId="44CFAB25">
            <w:pPr>
              <w:adjustRightInd w:val="0"/>
              <w:snapToGrid w:val="0"/>
              <w:spacing w:after="0" w:line="240" w:lineRule="auto"/>
              <w:jc w:val="center"/>
              <w:rPr>
                <w:rFonts w:hint="eastAsia" w:ascii="宋体" w:hAnsi="宋体" w:eastAsia="宋体" w:cs="宋体"/>
                <w:b/>
                <w:bCs/>
                <w:sz w:val="21"/>
                <w:szCs w:val="21"/>
                <w:highlight w:val="none"/>
              </w:rPr>
            </w:pPr>
          </w:p>
        </w:tc>
        <w:tc>
          <w:tcPr>
            <w:tcW w:w="581" w:type="dxa"/>
            <w:vMerge w:val="continue"/>
            <w:tcBorders>
              <w:top w:val="nil"/>
            </w:tcBorders>
            <w:shd w:val="clear" w:color="auto" w:fill="D1FDFE"/>
            <w:vAlign w:val="center"/>
          </w:tcPr>
          <w:p w14:paraId="50502C77">
            <w:pPr>
              <w:adjustRightInd w:val="0"/>
              <w:snapToGrid w:val="0"/>
              <w:spacing w:after="0" w:line="240" w:lineRule="auto"/>
              <w:jc w:val="center"/>
              <w:rPr>
                <w:rFonts w:hint="eastAsia" w:ascii="宋体" w:hAnsi="宋体" w:eastAsia="宋体" w:cs="宋体"/>
                <w:b/>
                <w:bCs/>
                <w:sz w:val="21"/>
                <w:szCs w:val="21"/>
                <w:highlight w:val="none"/>
              </w:rPr>
            </w:pPr>
          </w:p>
        </w:tc>
        <w:tc>
          <w:tcPr>
            <w:tcW w:w="619" w:type="dxa"/>
            <w:vMerge w:val="restart"/>
            <w:tcBorders>
              <w:top w:val="single" w:color="000000" w:sz="4" w:space="0"/>
            </w:tcBorders>
            <w:shd w:val="clear" w:color="auto" w:fill="D1FDFE"/>
            <w:vAlign w:val="center"/>
          </w:tcPr>
          <w:p w14:paraId="4BEE6E3A">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理论学时</w:t>
            </w:r>
          </w:p>
        </w:tc>
        <w:tc>
          <w:tcPr>
            <w:tcW w:w="602" w:type="dxa"/>
            <w:vMerge w:val="restart"/>
            <w:tcBorders>
              <w:top w:val="single" w:color="000000" w:sz="4" w:space="0"/>
            </w:tcBorders>
            <w:shd w:val="clear" w:color="auto" w:fill="D1FDFE"/>
            <w:vAlign w:val="center"/>
          </w:tcPr>
          <w:p w14:paraId="03AFF994">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实践学时</w:t>
            </w:r>
          </w:p>
        </w:tc>
        <w:tc>
          <w:tcPr>
            <w:tcW w:w="1073" w:type="dxa"/>
            <w:gridSpan w:val="2"/>
            <w:tcBorders>
              <w:top w:val="single" w:color="000000" w:sz="4" w:space="0"/>
            </w:tcBorders>
            <w:shd w:val="clear" w:color="auto" w:fill="D1FDFE"/>
            <w:vAlign w:val="center"/>
          </w:tcPr>
          <w:p w14:paraId="2CAF0211">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一</w:t>
            </w:r>
            <w:r>
              <w:rPr>
                <w:rFonts w:hint="eastAsia" w:ascii="宋体" w:hAnsi="宋体" w:eastAsia="宋体" w:cs="宋体"/>
                <w:b/>
                <w:bCs/>
                <w:sz w:val="21"/>
                <w:szCs w:val="21"/>
                <w:highlight w:val="none"/>
                <w:lang w:val="en-US" w:eastAsia="zh-CN"/>
              </w:rPr>
              <w:t>学年</w:t>
            </w:r>
          </w:p>
        </w:tc>
        <w:tc>
          <w:tcPr>
            <w:tcW w:w="1070" w:type="dxa"/>
            <w:gridSpan w:val="2"/>
            <w:tcBorders>
              <w:top w:val="single" w:color="000000" w:sz="4" w:space="0"/>
            </w:tcBorders>
            <w:shd w:val="clear" w:color="auto" w:fill="D1FDFE"/>
            <w:vAlign w:val="center"/>
          </w:tcPr>
          <w:p w14:paraId="166CD168">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二</w:t>
            </w:r>
            <w:r>
              <w:rPr>
                <w:rFonts w:hint="eastAsia" w:ascii="宋体" w:hAnsi="宋体" w:eastAsia="宋体" w:cs="宋体"/>
                <w:b/>
                <w:bCs/>
                <w:sz w:val="21"/>
                <w:szCs w:val="21"/>
                <w:highlight w:val="none"/>
                <w:lang w:val="en-US" w:eastAsia="zh-CN"/>
              </w:rPr>
              <w:t>学年</w:t>
            </w:r>
          </w:p>
        </w:tc>
        <w:tc>
          <w:tcPr>
            <w:tcW w:w="1085" w:type="dxa"/>
            <w:gridSpan w:val="2"/>
            <w:tcBorders>
              <w:top w:val="single" w:color="000000" w:sz="4" w:space="0"/>
            </w:tcBorders>
            <w:shd w:val="clear" w:color="auto" w:fill="D1FDFE"/>
            <w:vAlign w:val="center"/>
          </w:tcPr>
          <w:p w14:paraId="5CE259FE">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第三学年</w:t>
            </w:r>
          </w:p>
        </w:tc>
        <w:tc>
          <w:tcPr>
            <w:tcW w:w="469" w:type="dxa"/>
            <w:vMerge w:val="restart"/>
            <w:tcBorders>
              <w:top w:val="single" w:color="000000" w:sz="4" w:space="0"/>
            </w:tcBorders>
            <w:shd w:val="clear" w:color="auto" w:fill="D1FDFE"/>
            <w:noWrap/>
            <w:vAlign w:val="center"/>
          </w:tcPr>
          <w:p w14:paraId="02B19BE0">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考试</w:t>
            </w:r>
          </w:p>
        </w:tc>
        <w:tc>
          <w:tcPr>
            <w:tcW w:w="522" w:type="dxa"/>
            <w:vMerge w:val="restart"/>
            <w:tcBorders>
              <w:top w:val="single" w:color="000000" w:sz="4" w:space="0"/>
              <w:right w:val="thinThickSmallGap" w:color="000000" w:sz="12" w:space="0"/>
            </w:tcBorders>
            <w:shd w:val="clear" w:color="auto" w:fill="D1FDFE"/>
            <w:noWrap/>
            <w:vAlign w:val="center"/>
          </w:tcPr>
          <w:p w14:paraId="3DE1B8E0">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考查</w:t>
            </w:r>
          </w:p>
        </w:tc>
      </w:tr>
      <w:tr w14:paraId="43E5C4C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59" w:type="dxa"/>
            <w:gridSpan w:val="3"/>
            <w:vMerge w:val="continue"/>
            <w:tcBorders>
              <w:left w:val="thinThickSmallGap" w:color="000000" w:sz="12" w:space="0"/>
              <w:tl2br w:val="nil"/>
              <w:tr2bl w:val="nil"/>
            </w:tcBorders>
            <w:shd w:val="clear" w:color="auto" w:fill="auto"/>
            <w:vAlign w:val="center"/>
          </w:tcPr>
          <w:p w14:paraId="37423DE5">
            <w:pPr>
              <w:adjustRightInd w:val="0"/>
              <w:snapToGrid w:val="0"/>
              <w:spacing w:after="0" w:line="240" w:lineRule="auto"/>
              <w:rPr>
                <w:rFonts w:hint="default" w:ascii="宋体" w:hAnsi="宋体" w:eastAsia="宋体" w:cs="宋体"/>
                <w:sz w:val="21"/>
                <w:szCs w:val="21"/>
                <w:highlight w:val="none"/>
                <w:lang w:val="en-US" w:eastAsia="zh-CN"/>
              </w:rPr>
            </w:pPr>
          </w:p>
        </w:tc>
        <w:tc>
          <w:tcPr>
            <w:tcW w:w="1426" w:type="dxa"/>
            <w:vMerge w:val="continue"/>
            <w:tcBorders>
              <w:tl2br w:val="nil"/>
              <w:tr2bl w:val="nil"/>
            </w:tcBorders>
            <w:shd w:val="clear" w:color="auto" w:fill="auto"/>
            <w:vAlign w:val="center"/>
          </w:tcPr>
          <w:p w14:paraId="6FCA361A">
            <w:pPr>
              <w:adjustRightInd w:val="0"/>
              <w:snapToGrid w:val="0"/>
              <w:spacing w:after="0" w:line="240" w:lineRule="auto"/>
              <w:rPr>
                <w:rFonts w:hint="eastAsia" w:ascii="宋体" w:hAnsi="宋体" w:eastAsia="宋体" w:cs="宋体"/>
                <w:sz w:val="21"/>
                <w:szCs w:val="21"/>
                <w:highlight w:val="none"/>
              </w:rPr>
            </w:pPr>
          </w:p>
        </w:tc>
        <w:tc>
          <w:tcPr>
            <w:tcW w:w="651" w:type="dxa"/>
            <w:vMerge w:val="continue"/>
            <w:tcBorders>
              <w:tl2br w:val="nil"/>
              <w:tr2bl w:val="nil"/>
            </w:tcBorders>
            <w:shd w:val="clear" w:color="auto" w:fill="auto"/>
            <w:vAlign w:val="center"/>
          </w:tcPr>
          <w:p w14:paraId="70AA54EE">
            <w:pPr>
              <w:adjustRightInd w:val="0"/>
              <w:snapToGrid w:val="0"/>
              <w:spacing w:after="0" w:line="240" w:lineRule="auto"/>
              <w:jc w:val="center"/>
              <w:rPr>
                <w:rFonts w:hint="eastAsia" w:ascii="宋体" w:hAnsi="宋体" w:eastAsia="宋体" w:cs="宋体"/>
                <w:b/>
                <w:bCs/>
                <w:sz w:val="15"/>
                <w:szCs w:val="15"/>
                <w:highlight w:val="none"/>
              </w:rPr>
            </w:pPr>
          </w:p>
        </w:tc>
        <w:tc>
          <w:tcPr>
            <w:tcW w:w="413" w:type="dxa"/>
            <w:vMerge w:val="continue"/>
            <w:tcBorders>
              <w:tl2br w:val="nil"/>
              <w:tr2bl w:val="nil"/>
            </w:tcBorders>
            <w:shd w:val="clear" w:color="auto" w:fill="auto"/>
            <w:vAlign w:val="center"/>
          </w:tcPr>
          <w:p w14:paraId="62B3F340">
            <w:pPr>
              <w:adjustRightInd w:val="0"/>
              <w:snapToGrid w:val="0"/>
              <w:spacing w:after="0" w:line="240" w:lineRule="auto"/>
              <w:jc w:val="center"/>
              <w:rPr>
                <w:rFonts w:hint="eastAsia" w:ascii="宋体" w:hAnsi="宋体" w:eastAsia="宋体" w:cs="宋体"/>
                <w:b/>
                <w:bCs/>
                <w:sz w:val="15"/>
                <w:szCs w:val="15"/>
                <w:highlight w:val="none"/>
              </w:rPr>
            </w:pPr>
          </w:p>
        </w:tc>
        <w:tc>
          <w:tcPr>
            <w:tcW w:w="581" w:type="dxa"/>
            <w:vMerge w:val="continue"/>
            <w:tcBorders>
              <w:tl2br w:val="nil"/>
              <w:tr2bl w:val="nil"/>
            </w:tcBorders>
            <w:shd w:val="clear" w:color="auto" w:fill="auto"/>
            <w:vAlign w:val="center"/>
          </w:tcPr>
          <w:p w14:paraId="2220C1F1">
            <w:pPr>
              <w:adjustRightInd w:val="0"/>
              <w:snapToGrid w:val="0"/>
              <w:spacing w:after="0" w:line="240" w:lineRule="auto"/>
              <w:jc w:val="center"/>
              <w:rPr>
                <w:rFonts w:hint="eastAsia" w:ascii="宋体" w:hAnsi="宋体" w:eastAsia="宋体" w:cs="宋体"/>
                <w:b/>
                <w:bCs/>
                <w:sz w:val="15"/>
                <w:szCs w:val="15"/>
                <w:highlight w:val="none"/>
              </w:rPr>
            </w:pPr>
          </w:p>
        </w:tc>
        <w:tc>
          <w:tcPr>
            <w:tcW w:w="619" w:type="dxa"/>
            <w:vMerge w:val="continue"/>
            <w:tcBorders>
              <w:tl2br w:val="nil"/>
              <w:tr2bl w:val="nil"/>
            </w:tcBorders>
            <w:shd w:val="clear" w:color="auto" w:fill="auto"/>
            <w:vAlign w:val="center"/>
          </w:tcPr>
          <w:p w14:paraId="6223AF4D">
            <w:pPr>
              <w:adjustRightInd w:val="0"/>
              <w:snapToGrid w:val="0"/>
              <w:spacing w:after="0" w:line="240" w:lineRule="auto"/>
              <w:jc w:val="center"/>
              <w:rPr>
                <w:rFonts w:hint="eastAsia" w:ascii="宋体" w:hAnsi="宋体" w:eastAsia="宋体" w:cs="宋体"/>
                <w:b/>
                <w:bCs/>
                <w:sz w:val="15"/>
                <w:szCs w:val="15"/>
                <w:highlight w:val="none"/>
              </w:rPr>
            </w:pPr>
          </w:p>
        </w:tc>
        <w:tc>
          <w:tcPr>
            <w:tcW w:w="602" w:type="dxa"/>
            <w:vMerge w:val="continue"/>
            <w:tcBorders>
              <w:tl2br w:val="nil"/>
              <w:tr2bl w:val="nil"/>
            </w:tcBorders>
            <w:shd w:val="clear" w:color="auto" w:fill="auto"/>
            <w:vAlign w:val="center"/>
          </w:tcPr>
          <w:p w14:paraId="559F2350">
            <w:pPr>
              <w:adjustRightInd w:val="0"/>
              <w:snapToGrid w:val="0"/>
              <w:spacing w:after="0" w:line="240" w:lineRule="auto"/>
              <w:jc w:val="center"/>
              <w:rPr>
                <w:rFonts w:hint="eastAsia" w:ascii="宋体" w:hAnsi="宋体" w:eastAsia="宋体" w:cs="宋体"/>
                <w:b/>
                <w:bCs/>
                <w:sz w:val="15"/>
                <w:szCs w:val="15"/>
                <w:highlight w:val="none"/>
              </w:rPr>
            </w:pPr>
          </w:p>
        </w:tc>
        <w:tc>
          <w:tcPr>
            <w:tcW w:w="569" w:type="dxa"/>
            <w:tcBorders>
              <w:tl2br w:val="nil"/>
              <w:tr2bl w:val="nil"/>
            </w:tcBorders>
            <w:shd w:val="clear" w:color="auto" w:fill="D1FDFE"/>
            <w:vAlign w:val="center"/>
          </w:tcPr>
          <w:p w14:paraId="5944C2A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1</w:t>
            </w:r>
          </w:p>
        </w:tc>
        <w:tc>
          <w:tcPr>
            <w:tcW w:w="504" w:type="dxa"/>
            <w:tcBorders>
              <w:tl2br w:val="nil"/>
              <w:tr2bl w:val="nil"/>
            </w:tcBorders>
            <w:shd w:val="clear" w:color="auto" w:fill="D1FDFE"/>
            <w:vAlign w:val="center"/>
          </w:tcPr>
          <w:p w14:paraId="0F17FF38">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2</w:t>
            </w:r>
          </w:p>
        </w:tc>
        <w:tc>
          <w:tcPr>
            <w:tcW w:w="535" w:type="dxa"/>
            <w:tcBorders>
              <w:tl2br w:val="nil"/>
              <w:tr2bl w:val="nil"/>
            </w:tcBorders>
            <w:shd w:val="clear" w:color="auto" w:fill="D1FDFE"/>
            <w:vAlign w:val="center"/>
          </w:tcPr>
          <w:p w14:paraId="1ACE517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3</w:t>
            </w:r>
          </w:p>
        </w:tc>
        <w:tc>
          <w:tcPr>
            <w:tcW w:w="535" w:type="dxa"/>
            <w:tcBorders>
              <w:tl2br w:val="nil"/>
              <w:tr2bl w:val="nil"/>
            </w:tcBorders>
            <w:shd w:val="clear" w:color="auto" w:fill="D1FDFE"/>
            <w:vAlign w:val="center"/>
          </w:tcPr>
          <w:p w14:paraId="6604D63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4</w:t>
            </w:r>
          </w:p>
        </w:tc>
        <w:tc>
          <w:tcPr>
            <w:tcW w:w="501" w:type="dxa"/>
            <w:tcBorders>
              <w:tl2br w:val="nil"/>
              <w:tr2bl w:val="nil"/>
            </w:tcBorders>
            <w:shd w:val="clear" w:color="auto" w:fill="D1FDFE"/>
            <w:vAlign w:val="center"/>
          </w:tcPr>
          <w:p w14:paraId="5D2C0502">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5</w:t>
            </w:r>
          </w:p>
        </w:tc>
        <w:tc>
          <w:tcPr>
            <w:tcW w:w="584" w:type="dxa"/>
            <w:tcBorders>
              <w:tl2br w:val="nil"/>
              <w:tr2bl w:val="nil"/>
            </w:tcBorders>
            <w:shd w:val="clear" w:color="auto" w:fill="D1FDFE"/>
            <w:vAlign w:val="center"/>
          </w:tcPr>
          <w:p w14:paraId="2C6B643D">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6</w:t>
            </w:r>
          </w:p>
        </w:tc>
        <w:tc>
          <w:tcPr>
            <w:tcW w:w="469" w:type="dxa"/>
            <w:vMerge w:val="continue"/>
            <w:tcBorders>
              <w:tl2br w:val="nil"/>
              <w:tr2bl w:val="nil"/>
            </w:tcBorders>
            <w:shd w:val="clear" w:color="auto" w:fill="auto"/>
            <w:noWrap/>
            <w:vAlign w:val="center"/>
          </w:tcPr>
          <w:p w14:paraId="5698BABB">
            <w:pPr>
              <w:adjustRightInd w:val="0"/>
              <w:snapToGrid w:val="0"/>
              <w:spacing w:after="0" w:line="240" w:lineRule="auto"/>
              <w:rPr>
                <w:rFonts w:hint="eastAsia" w:ascii="宋体" w:hAnsi="宋体" w:eastAsia="宋体" w:cs="宋体"/>
                <w:sz w:val="21"/>
                <w:szCs w:val="21"/>
                <w:highlight w:val="none"/>
              </w:rPr>
            </w:pPr>
          </w:p>
        </w:tc>
        <w:tc>
          <w:tcPr>
            <w:tcW w:w="522" w:type="dxa"/>
            <w:vMerge w:val="continue"/>
            <w:tcBorders>
              <w:right w:val="thinThickSmallGap" w:color="000000" w:sz="12" w:space="0"/>
              <w:tl2br w:val="nil"/>
              <w:tr2bl w:val="nil"/>
            </w:tcBorders>
            <w:shd w:val="clear" w:color="auto" w:fill="auto"/>
            <w:noWrap/>
            <w:vAlign w:val="center"/>
          </w:tcPr>
          <w:p w14:paraId="11A537C6">
            <w:pPr>
              <w:adjustRightInd w:val="0"/>
              <w:snapToGrid w:val="0"/>
              <w:spacing w:after="0" w:line="240" w:lineRule="auto"/>
              <w:rPr>
                <w:rFonts w:ascii="宋体" w:hAnsi="宋体" w:eastAsia="宋体" w:cs="宋体"/>
                <w:sz w:val="21"/>
                <w:szCs w:val="21"/>
                <w:highlight w:val="none"/>
              </w:rPr>
            </w:pPr>
          </w:p>
        </w:tc>
      </w:tr>
      <w:tr w14:paraId="0B7A4D2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41" w:type="dxa"/>
            <w:vMerge w:val="restart"/>
            <w:tcBorders>
              <w:left w:val="thinThickSmallGap" w:color="000000" w:sz="12" w:space="0"/>
              <w:tl2br w:val="nil"/>
              <w:tr2bl w:val="nil"/>
            </w:tcBorders>
            <w:vAlign w:val="center"/>
          </w:tcPr>
          <w:p w14:paraId="5EFC9CF8">
            <w:pPr>
              <w:adjustRightInd w:val="0"/>
              <w:snapToGrid w:val="0"/>
              <w:spacing w:after="0" w:line="240" w:lineRule="auto"/>
              <w:rPr>
                <w:rFonts w:hint="eastAsia" w:ascii="宋体" w:hAnsi="宋体" w:eastAsia="宋体" w:cs="宋体"/>
                <w:sz w:val="21"/>
                <w:szCs w:val="21"/>
                <w:highlight w:val="none"/>
              </w:rPr>
            </w:pPr>
          </w:p>
          <w:p w14:paraId="770F293D">
            <w:pPr>
              <w:adjustRightInd w:val="0"/>
              <w:snapToGrid w:val="0"/>
              <w:spacing w:after="0" w:line="240" w:lineRule="auto"/>
              <w:rPr>
                <w:rFonts w:hint="eastAsia" w:ascii="宋体" w:hAnsi="宋体" w:eastAsia="宋体" w:cs="宋体"/>
                <w:sz w:val="21"/>
                <w:szCs w:val="21"/>
                <w:highlight w:val="none"/>
              </w:rPr>
            </w:pPr>
          </w:p>
          <w:p w14:paraId="27865590">
            <w:pPr>
              <w:adjustRightInd w:val="0"/>
              <w:snapToGrid w:val="0"/>
              <w:spacing w:after="0" w:line="240" w:lineRule="auto"/>
              <w:rPr>
                <w:rFonts w:hint="eastAsia" w:ascii="宋体" w:hAnsi="宋体" w:eastAsia="宋体" w:cs="宋体"/>
                <w:sz w:val="21"/>
                <w:szCs w:val="21"/>
                <w:highlight w:val="none"/>
              </w:rPr>
            </w:pPr>
          </w:p>
          <w:p w14:paraId="73BBAACE">
            <w:pPr>
              <w:adjustRightInd w:val="0"/>
              <w:snapToGrid w:val="0"/>
              <w:spacing w:after="0" w:line="240" w:lineRule="auto"/>
              <w:rPr>
                <w:rFonts w:hint="eastAsia" w:ascii="宋体" w:hAnsi="宋体" w:eastAsia="宋体" w:cs="宋体"/>
                <w:sz w:val="21"/>
                <w:szCs w:val="21"/>
                <w:highlight w:val="none"/>
              </w:rPr>
            </w:pPr>
          </w:p>
          <w:p w14:paraId="1E9E4106">
            <w:pPr>
              <w:adjustRightInd w:val="0"/>
              <w:snapToGrid w:val="0"/>
              <w:spacing w:after="0" w:line="240" w:lineRule="auto"/>
              <w:rPr>
                <w:rFonts w:hint="eastAsia" w:ascii="宋体" w:hAnsi="宋体" w:eastAsia="宋体" w:cs="宋体"/>
                <w:sz w:val="21"/>
                <w:szCs w:val="21"/>
                <w:highlight w:val="none"/>
              </w:rPr>
            </w:pPr>
          </w:p>
          <w:p w14:paraId="3569B140">
            <w:pPr>
              <w:adjustRightInd w:val="0"/>
              <w:snapToGrid w:val="0"/>
              <w:spacing w:after="0" w:line="240" w:lineRule="auto"/>
              <w:rPr>
                <w:rFonts w:hint="eastAsia" w:ascii="宋体" w:hAnsi="宋体" w:eastAsia="宋体" w:cs="宋体"/>
                <w:sz w:val="21"/>
                <w:szCs w:val="21"/>
                <w:highlight w:val="none"/>
              </w:rPr>
            </w:pPr>
          </w:p>
          <w:p w14:paraId="56AE7D11">
            <w:pPr>
              <w:adjustRightInd w:val="0"/>
              <w:snapToGrid w:val="0"/>
              <w:spacing w:after="0" w:line="240" w:lineRule="auto"/>
              <w:rPr>
                <w:rFonts w:hint="eastAsia" w:ascii="宋体" w:hAnsi="宋体" w:eastAsia="宋体" w:cs="宋体"/>
                <w:sz w:val="21"/>
                <w:szCs w:val="21"/>
                <w:highlight w:val="none"/>
              </w:rPr>
            </w:pPr>
          </w:p>
          <w:p w14:paraId="624C1FE5">
            <w:pPr>
              <w:adjustRightInd w:val="0"/>
              <w:snapToGrid w:val="0"/>
              <w:spacing w:after="0" w:line="240" w:lineRule="auto"/>
              <w:rPr>
                <w:rFonts w:hint="eastAsia" w:ascii="宋体" w:hAnsi="宋体" w:eastAsia="宋体" w:cs="宋体"/>
                <w:sz w:val="21"/>
                <w:szCs w:val="21"/>
                <w:highlight w:val="none"/>
              </w:rPr>
            </w:pPr>
          </w:p>
          <w:p w14:paraId="77BF43FC">
            <w:pPr>
              <w:adjustRightInd w:val="0"/>
              <w:snapToGrid w:val="0"/>
              <w:spacing w:after="0" w:line="240" w:lineRule="auto"/>
              <w:rPr>
                <w:rFonts w:hint="eastAsia" w:ascii="宋体" w:hAnsi="宋体" w:eastAsia="宋体" w:cs="宋体"/>
                <w:sz w:val="21"/>
                <w:szCs w:val="21"/>
                <w:highlight w:val="none"/>
              </w:rPr>
            </w:pPr>
          </w:p>
          <w:p w14:paraId="336C877B">
            <w:pPr>
              <w:adjustRightInd w:val="0"/>
              <w:snapToGrid w:val="0"/>
              <w:spacing w:after="0" w:line="240" w:lineRule="auto"/>
              <w:rPr>
                <w:rFonts w:hint="eastAsia" w:ascii="宋体" w:hAnsi="宋体" w:eastAsia="宋体" w:cs="宋体"/>
                <w:sz w:val="21"/>
                <w:szCs w:val="21"/>
                <w:highlight w:val="none"/>
              </w:rPr>
            </w:pPr>
          </w:p>
          <w:p w14:paraId="520F113D">
            <w:pPr>
              <w:adjustRightInd w:val="0"/>
              <w:snapToGrid w:val="0"/>
              <w:spacing w:after="0" w:line="240" w:lineRule="auto"/>
              <w:rPr>
                <w:rFonts w:hint="eastAsia" w:ascii="宋体" w:hAnsi="宋体" w:eastAsia="宋体" w:cs="宋体"/>
                <w:sz w:val="21"/>
                <w:szCs w:val="21"/>
                <w:highlight w:val="none"/>
              </w:rPr>
            </w:pPr>
          </w:p>
          <w:p w14:paraId="3F1E8A0A">
            <w:pPr>
              <w:adjustRightInd w:val="0"/>
              <w:snapToGrid w:val="0"/>
              <w:spacing w:after="0" w:line="240" w:lineRule="auto"/>
              <w:rPr>
                <w:rFonts w:hint="eastAsia" w:ascii="宋体" w:hAnsi="宋体" w:eastAsia="宋体" w:cs="宋体"/>
                <w:sz w:val="21"/>
                <w:szCs w:val="21"/>
                <w:highlight w:val="none"/>
              </w:rPr>
            </w:pPr>
          </w:p>
          <w:p w14:paraId="5390996C">
            <w:pPr>
              <w:adjustRightInd w:val="0"/>
              <w:snapToGrid w:val="0"/>
              <w:spacing w:after="0" w:line="240" w:lineRule="auto"/>
              <w:rPr>
                <w:rFonts w:hint="eastAsia" w:ascii="宋体" w:hAnsi="宋体" w:eastAsia="宋体" w:cs="宋体"/>
                <w:sz w:val="21"/>
                <w:szCs w:val="21"/>
                <w:highlight w:val="none"/>
              </w:rPr>
            </w:pPr>
          </w:p>
          <w:p w14:paraId="38672FE7">
            <w:pPr>
              <w:adjustRightInd w:val="0"/>
              <w:snapToGrid w:val="0"/>
              <w:spacing w:after="0" w:line="240" w:lineRule="auto"/>
              <w:rPr>
                <w:rFonts w:hint="eastAsia" w:ascii="宋体" w:hAnsi="宋体" w:eastAsia="宋体" w:cs="宋体"/>
                <w:sz w:val="21"/>
                <w:szCs w:val="21"/>
                <w:highlight w:val="none"/>
              </w:rPr>
            </w:pPr>
          </w:p>
          <w:p w14:paraId="1CC75ECD">
            <w:pPr>
              <w:adjustRightInd w:val="0"/>
              <w:snapToGrid w:val="0"/>
              <w:spacing w:after="0" w:line="240" w:lineRule="auto"/>
              <w:rPr>
                <w:rFonts w:hint="eastAsia" w:ascii="宋体" w:hAnsi="宋体" w:eastAsia="宋体" w:cs="宋体"/>
                <w:sz w:val="21"/>
                <w:szCs w:val="21"/>
                <w:highlight w:val="none"/>
              </w:rPr>
            </w:pPr>
          </w:p>
          <w:p w14:paraId="7EA16BB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公共</w:t>
            </w:r>
          </w:p>
          <w:p w14:paraId="266D86D4">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基础课</w:t>
            </w:r>
          </w:p>
        </w:tc>
        <w:tc>
          <w:tcPr>
            <w:tcW w:w="418" w:type="dxa"/>
            <w:gridSpan w:val="2"/>
            <w:vMerge w:val="restart"/>
            <w:tcBorders>
              <w:tl2br w:val="nil"/>
              <w:tr2bl w:val="nil"/>
            </w:tcBorders>
            <w:vAlign w:val="center"/>
          </w:tcPr>
          <w:p w14:paraId="28D29921">
            <w:pPr>
              <w:adjustRightInd w:val="0"/>
              <w:snapToGrid w:val="0"/>
              <w:spacing w:after="0" w:line="240" w:lineRule="auto"/>
              <w:rPr>
                <w:rFonts w:hint="eastAsia" w:ascii="宋体" w:hAnsi="宋体" w:eastAsia="宋体" w:cs="宋体"/>
                <w:sz w:val="21"/>
                <w:szCs w:val="21"/>
                <w:highlight w:val="none"/>
                <w:lang w:val="en-US" w:eastAsia="zh-CN"/>
              </w:rPr>
            </w:pPr>
          </w:p>
          <w:p w14:paraId="5A29814F">
            <w:pPr>
              <w:adjustRightInd w:val="0"/>
              <w:snapToGrid w:val="0"/>
              <w:spacing w:after="0" w:line="240" w:lineRule="auto"/>
              <w:rPr>
                <w:rFonts w:hint="eastAsia" w:ascii="宋体" w:hAnsi="宋体" w:eastAsia="宋体" w:cs="宋体"/>
                <w:sz w:val="21"/>
                <w:szCs w:val="21"/>
                <w:highlight w:val="none"/>
                <w:lang w:val="en-US" w:eastAsia="zh-CN"/>
              </w:rPr>
            </w:pPr>
          </w:p>
          <w:p w14:paraId="4FC0EE68">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公共基础必修课程</w:t>
            </w:r>
          </w:p>
        </w:tc>
        <w:tc>
          <w:tcPr>
            <w:tcW w:w="1426" w:type="dxa"/>
            <w:tcBorders>
              <w:tl2br w:val="nil"/>
              <w:tr2bl w:val="nil"/>
            </w:tcBorders>
            <w:vAlign w:val="center"/>
          </w:tcPr>
          <w:p w14:paraId="1FC1861F">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思想道德与法治</w:t>
            </w:r>
          </w:p>
        </w:tc>
        <w:tc>
          <w:tcPr>
            <w:tcW w:w="651" w:type="dxa"/>
            <w:tcBorders>
              <w:tl2br w:val="nil"/>
              <w:tr2bl w:val="nil"/>
            </w:tcBorders>
            <w:vAlign w:val="center"/>
          </w:tcPr>
          <w:p w14:paraId="2B78572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5</w:t>
            </w:r>
            <w:r>
              <w:rPr>
                <w:rFonts w:hint="eastAsia" w:ascii="宋体" w:hAnsi="宋体" w:eastAsia="宋体" w:cs="宋体"/>
                <w:b w:val="0"/>
                <w:bCs w:val="0"/>
                <w:sz w:val="21"/>
                <w:szCs w:val="21"/>
                <w:highlight w:val="none"/>
                <w:lang w:val="en-US" w:eastAsia="zh-CN"/>
              </w:rPr>
              <w:t>6</w:t>
            </w:r>
          </w:p>
        </w:tc>
        <w:tc>
          <w:tcPr>
            <w:tcW w:w="413" w:type="dxa"/>
            <w:tcBorders>
              <w:tl2br w:val="nil"/>
              <w:tr2bl w:val="nil"/>
            </w:tcBorders>
            <w:vAlign w:val="center"/>
          </w:tcPr>
          <w:p w14:paraId="2E625E8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w:t>
            </w:r>
          </w:p>
        </w:tc>
        <w:tc>
          <w:tcPr>
            <w:tcW w:w="581" w:type="dxa"/>
            <w:tcBorders>
              <w:tl2br w:val="nil"/>
              <w:tr2bl w:val="nil"/>
            </w:tcBorders>
            <w:vAlign w:val="center"/>
          </w:tcPr>
          <w:p w14:paraId="54B2E41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751E5A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42</w:t>
            </w:r>
          </w:p>
        </w:tc>
        <w:tc>
          <w:tcPr>
            <w:tcW w:w="602" w:type="dxa"/>
            <w:tcBorders>
              <w:tl2br w:val="nil"/>
              <w:tr2bl w:val="nil"/>
            </w:tcBorders>
            <w:vAlign w:val="center"/>
          </w:tcPr>
          <w:p w14:paraId="4B351973">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D0A95F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5FE9F962">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23BBD18">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94347F8">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4991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ACD0BD7">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1D48E97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A47CE2A">
            <w:pPr>
              <w:adjustRightInd w:val="0"/>
              <w:snapToGrid w:val="0"/>
              <w:spacing w:after="0" w:line="240" w:lineRule="auto"/>
              <w:rPr>
                <w:rFonts w:ascii="宋体" w:hAnsi="宋体" w:eastAsia="宋体" w:cs="宋体"/>
                <w:b w:val="0"/>
                <w:bCs w:val="0"/>
                <w:sz w:val="21"/>
                <w:szCs w:val="21"/>
                <w:highlight w:val="none"/>
              </w:rPr>
            </w:pPr>
          </w:p>
        </w:tc>
      </w:tr>
      <w:tr w14:paraId="4E0BA4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341" w:type="dxa"/>
            <w:vMerge w:val="continue"/>
            <w:tcBorders>
              <w:left w:val="thinThickSmallGap" w:color="000000" w:sz="12" w:space="0"/>
              <w:tl2br w:val="nil"/>
              <w:tr2bl w:val="nil"/>
            </w:tcBorders>
            <w:vAlign w:val="center"/>
          </w:tcPr>
          <w:p w14:paraId="2E652C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8118DAA">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AFC4125">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毛泽东思想和中国特色社会主义理论体系概论</w:t>
            </w:r>
          </w:p>
        </w:tc>
        <w:tc>
          <w:tcPr>
            <w:tcW w:w="651" w:type="dxa"/>
            <w:tcBorders>
              <w:tl2br w:val="nil"/>
              <w:tr2bl w:val="nil"/>
            </w:tcBorders>
            <w:vAlign w:val="center"/>
          </w:tcPr>
          <w:p w14:paraId="06BC70E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FB8774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443C0A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7529C54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0123955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CCF4DAB">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EC0964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23177FD">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EB29C31">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5113D0C3">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41AD82F">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4EFD312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4855325A">
            <w:pPr>
              <w:adjustRightInd w:val="0"/>
              <w:snapToGrid w:val="0"/>
              <w:spacing w:after="0" w:line="240" w:lineRule="auto"/>
              <w:rPr>
                <w:rFonts w:ascii="宋体" w:hAnsi="宋体" w:eastAsia="宋体" w:cs="宋体"/>
                <w:b w:val="0"/>
                <w:bCs w:val="0"/>
                <w:sz w:val="21"/>
                <w:szCs w:val="21"/>
                <w:highlight w:val="none"/>
              </w:rPr>
            </w:pPr>
          </w:p>
        </w:tc>
      </w:tr>
      <w:tr w14:paraId="5C2607C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1B3CB33E">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7CAE5DA">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AC0BD48">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习近平新时代中国特色社会主义思想</w:t>
            </w:r>
          </w:p>
        </w:tc>
        <w:tc>
          <w:tcPr>
            <w:tcW w:w="651" w:type="dxa"/>
            <w:tcBorders>
              <w:tl2br w:val="nil"/>
              <w:tr2bl w:val="nil"/>
            </w:tcBorders>
            <w:vAlign w:val="center"/>
          </w:tcPr>
          <w:p w14:paraId="0999F6A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54</w:t>
            </w:r>
          </w:p>
        </w:tc>
        <w:tc>
          <w:tcPr>
            <w:tcW w:w="413" w:type="dxa"/>
            <w:tcBorders>
              <w:tl2br w:val="nil"/>
              <w:tr2bl w:val="nil"/>
            </w:tcBorders>
            <w:vAlign w:val="center"/>
          </w:tcPr>
          <w:p w14:paraId="5449A81C">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54E52F4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23CA69D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40</w:t>
            </w:r>
          </w:p>
        </w:tc>
        <w:tc>
          <w:tcPr>
            <w:tcW w:w="602" w:type="dxa"/>
            <w:tcBorders>
              <w:tl2br w:val="nil"/>
              <w:tr2bl w:val="nil"/>
            </w:tcBorders>
            <w:vAlign w:val="center"/>
          </w:tcPr>
          <w:p w14:paraId="295BF44F">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543BA1E3">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424EB113">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48F694EF">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000000" w:themeColor="text1"/>
                <w:sz w:val="21"/>
                <w:szCs w:val="21"/>
                <w:highlight w:val="none"/>
                <w14:textFill>
                  <w14:solidFill>
                    <w14:schemeClr w14:val="tx1"/>
                  </w14:solidFill>
                </w14:textFill>
              </w:rPr>
              <w:t>1</w:t>
            </w:r>
          </w:p>
        </w:tc>
        <w:tc>
          <w:tcPr>
            <w:tcW w:w="535" w:type="dxa"/>
            <w:tcBorders>
              <w:tl2br w:val="nil"/>
              <w:tr2bl w:val="nil"/>
            </w:tcBorders>
            <w:vAlign w:val="center"/>
          </w:tcPr>
          <w:p w14:paraId="1263B2C4">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4239781">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A90C2E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04C8C13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7F52B1C">
            <w:pPr>
              <w:adjustRightInd w:val="0"/>
              <w:snapToGrid w:val="0"/>
              <w:spacing w:after="0" w:line="240" w:lineRule="auto"/>
              <w:rPr>
                <w:rFonts w:ascii="宋体" w:hAnsi="宋体" w:eastAsia="宋体" w:cs="宋体"/>
                <w:b w:val="0"/>
                <w:bCs w:val="0"/>
                <w:sz w:val="21"/>
                <w:szCs w:val="21"/>
                <w:highlight w:val="none"/>
              </w:rPr>
            </w:pPr>
          </w:p>
        </w:tc>
      </w:tr>
      <w:tr w14:paraId="774D1D8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7F8203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3F24536">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92D050"/>
            <w:vAlign w:val="center"/>
          </w:tcPr>
          <w:p w14:paraId="050CBF56">
            <w:pPr>
              <w:adjustRightInd w:val="0"/>
              <w:snapToGrid w:val="0"/>
              <w:spacing w:after="0" w:line="240" w:lineRule="auto"/>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军事训练及军事理论*</w:t>
            </w:r>
          </w:p>
        </w:tc>
        <w:tc>
          <w:tcPr>
            <w:tcW w:w="651" w:type="dxa"/>
            <w:tcBorders>
              <w:tl2br w:val="nil"/>
              <w:tr2bl w:val="nil"/>
            </w:tcBorders>
            <w:shd w:val="clear" w:color="auto" w:fill="92D050"/>
            <w:vAlign w:val="center"/>
          </w:tcPr>
          <w:p w14:paraId="3B0443CE">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112</w:t>
            </w:r>
          </w:p>
        </w:tc>
        <w:tc>
          <w:tcPr>
            <w:tcW w:w="413" w:type="dxa"/>
            <w:tcBorders>
              <w:tl2br w:val="nil"/>
              <w:tr2bl w:val="nil"/>
            </w:tcBorders>
            <w:shd w:val="clear" w:color="auto" w:fill="92D050"/>
            <w:vAlign w:val="center"/>
          </w:tcPr>
          <w:p w14:paraId="0F338D8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92D050"/>
            <w:vAlign w:val="center"/>
          </w:tcPr>
          <w:p w14:paraId="53CBF91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p>
        </w:tc>
        <w:tc>
          <w:tcPr>
            <w:tcW w:w="619" w:type="dxa"/>
            <w:tcBorders>
              <w:tl2br w:val="nil"/>
              <w:tr2bl w:val="nil"/>
            </w:tcBorders>
            <w:shd w:val="clear" w:color="auto" w:fill="92D050"/>
            <w:vAlign w:val="center"/>
          </w:tcPr>
          <w:p w14:paraId="577C871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15"/>
                <w:szCs w:val="15"/>
                <w:highlight w:val="none"/>
                <w:lang w:val="en-US" w:eastAsia="zh-CN"/>
              </w:rPr>
              <w:t>36（线上）</w:t>
            </w:r>
          </w:p>
        </w:tc>
        <w:tc>
          <w:tcPr>
            <w:tcW w:w="602" w:type="dxa"/>
            <w:tcBorders>
              <w:tl2br w:val="nil"/>
              <w:tr2bl w:val="nil"/>
            </w:tcBorders>
            <w:shd w:val="clear" w:color="auto" w:fill="92D050"/>
            <w:vAlign w:val="center"/>
          </w:tcPr>
          <w:p w14:paraId="00EB93C4">
            <w:pPr>
              <w:adjustRightInd w:val="0"/>
              <w:snapToGrid w:val="0"/>
              <w:spacing w:after="0" w:line="240" w:lineRule="auto"/>
              <w:jc w:val="center"/>
              <w:rPr>
                <w:rFonts w:hint="eastAsia" w:ascii="宋体" w:hAnsi="宋体" w:eastAsia="宋体" w:cs="宋体"/>
                <w:b w:val="0"/>
                <w:bCs w:val="0"/>
                <w:sz w:val="15"/>
                <w:szCs w:val="15"/>
                <w:highlight w:val="none"/>
              </w:rPr>
            </w:pPr>
            <w:r>
              <w:rPr>
                <w:rFonts w:hint="eastAsia" w:ascii="宋体" w:hAnsi="宋体" w:eastAsia="宋体" w:cs="宋体"/>
                <w:b w:val="0"/>
                <w:bCs w:val="0"/>
                <w:sz w:val="15"/>
                <w:szCs w:val="15"/>
                <w:highlight w:val="none"/>
                <w:lang w:val="en-US" w:eastAsia="zh-CN"/>
              </w:rPr>
              <w:t>112（2周含夜训）</w:t>
            </w:r>
          </w:p>
        </w:tc>
        <w:tc>
          <w:tcPr>
            <w:tcW w:w="569" w:type="dxa"/>
            <w:tcBorders>
              <w:tl2br w:val="nil"/>
              <w:tr2bl w:val="nil"/>
            </w:tcBorders>
            <w:shd w:val="clear" w:color="auto" w:fill="92D050"/>
            <w:vAlign w:val="center"/>
          </w:tcPr>
          <w:p w14:paraId="2F7D334F">
            <w:pPr>
              <w:adjustRightInd w:val="0"/>
              <w:snapToGrid w:val="0"/>
              <w:spacing w:after="0" w:line="240" w:lineRule="auto"/>
              <w:jc w:val="center"/>
              <w:rPr>
                <w:rFonts w:ascii="宋体" w:hAnsi="宋体" w:eastAsia="宋体" w:cs="宋体"/>
                <w:b w:val="0"/>
                <w:bCs w:val="0"/>
                <w:sz w:val="15"/>
                <w:szCs w:val="15"/>
                <w:highlight w:val="none"/>
              </w:rPr>
            </w:pPr>
          </w:p>
        </w:tc>
        <w:tc>
          <w:tcPr>
            <w:tcW w:w="504" w:type="dxa"/>
            <w:tcBorders>
              <w:tl2br w:val="nil"/>
              <w:tr2bl w:val="nil"/>
            </w:tcBorders>
            <w:shd w:val="clear" w:color="auto" w:fill="92D050"/>
            <w:vAlign w:val="center"/>
          </w:tcPr>
          <w:p w14:paraId="0DB7AB87">
            <w:pPr>
              <w:adjustRightInd w:val="0"/>
              <w:snapToGrid w:val="0"/>
              <w:spacing w:after="0" w:line="240" w:lineRule="auto"/>
              <w:jc w:val="center"/>
              <w:rPr>
                <w:rFonts w:hint="eastAsia" w:ascii="宋体" w:hAnsi="宋体" w:eastAsia="宋体" w:cs="宋体"/>
                <w:b w:val="0"/>
                <w:bCs w:val="0"/>
                <w:color w:val="auto"/>
                <w:sz w:val="15"/>
                <w:szCs w:val="15"/>
                <w:highlight w:val="none"/>
              </w:rPr>
            </w:pPr>
          </w:p>
        </w:tc>
        <w:tc>
          <w:tcPr>
            <w:tcW w:w="535" w:type="dxa"/>
            <w:tcBorders>
              <w:tl2br w:val="nil"/>
              <w:tr2bl w:val="nil"/>
            </w:tcBorders>
            <w:shd w:val="clear" w:color="auto" w:fill="92D050"/>
            <w:vAlign w:val="center"/>
          </w:tcPr>
          <w:p w14:paraId="36376D3F">
            <w:pPr>
              <w:adjustRightInd w:val="0"/>
              <w:snapToGrid w:val="0"/>
              <w:spacing w:after="0" w:line="240" w:lineRule="auto"/>
              <w:jc w:val="center"/>
              <w:rPr>
                <w:rFonts w:hint="eastAsia" w:ascii="宋体" w:hAnsi="宋体" w:eastAsia="宋体" w:cs="宋体"/>
                <w:b w:val="0"/>
                <w:bCs w:val="0"/>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92D050"/>
            <w:vAlign w:val="center"/>
          </w:tcPr>
          <w:p w14:paraId="0B544BA0">
            <w:pPr>
              <w:adjustRightInd w:val="0"/>
              <w:snapToGrid w:val="0"/>
              <w:spacing w:after="0" w:line="240" w:lineRule="auto"/>
              <w:jc w:val="center"/>
              <w:rPr>
                <w:rFonts w:ascii="宋体" w:hAnsi="宋体" w:eastAsia="宋体" w:cs="宋体"/>
                <w:b w:val="0"/>
                <w:bCs w:val="0"/>
                <w:sz w:val="15"/>
                <w:szCs w:val="15"/>
                <w:highlight w:val="none"/>
              </w:rPr>
            </w:pPr>
          </w:p>
        </w:tc>
        <w:tc>
          <w:tcPr>
            <w:tcW w:w="501" w:type="dxa"/>
            <w:tcBorders>
              <w:tl2br w:val="nil"/>
              <w:tr2bl w:val="nil"/>
            </w:tcBorders>
            <w:shd w:val="clear" w:color="auto" w:fill="92D050"/>
            <w:vAlign w:val="center"/>
          </w:tcPr>
          <w:p w14:paraId="5AB3C2A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shd w:val="clear" w:color="auto" w:fill="92D050"/>
            <w:vAlign w:val="center"/>
          </w:tcPr>
          <w:p w14:paraId="1377273B">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shd w:val="clear" w:color="auto" w:fill="92D050"/>
            <w:noWrap/>
            <w:vAlign w:val="center"/>
          </w:tcPr>
          <w:p w14:paraId="60075704">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92D050"/>
            <w:noWrap/>
            <w:vAlign w:val="center"/>
          </w:tcPr>
          <w:p w14:paraId="50B277F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2452FE0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53EFAFA8">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B82F153">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6462A04">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心理健康教育</w:t>
            </w:r>
          </w:p>
        </w:tc>
        <w:tc>
          <w:tcPr>
            <w:tcW w:w="651" w:type="dxa"/>
            <w:tcBorders>
              <w:tl2br w:val="nil"/>
              <w:tr2bl w:val="nil"/>
            </w:tcBorders>
            <w:vAlign w:val="center"/>
          </w:tcPr>
          <w:p w14:paraId="2FA35F1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1806B8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BF9C39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E6DF10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1FBC384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4046133C">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DFCD3D3">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1FDA5D6">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vAlign w:val="center"/>
          </w:tcPr>
          <w:p w14:paraId="4AC7F3B0">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1B966D5">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73A2A0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51528C3">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EE7572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FFF16A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341" w:type="dxa"/>
            <w:vMerge w:val="continue"/>
            <w:tcBorders>
              <w:left w:val="thinThickSmallGap" w:color="000000" w:sz="12" w:space="0"/>
              <w:tl2br w:val="nil"/>
              <w:tr2bl w:val="nil"/>
            </w:tcBorders>
            <w:vAlign w:val="center"/>
          </w:tcPr>
          <w:p w14:paraId="324A28BF">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4CDC5008">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8A3EEA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劳动教育</w:t>
            </w:r>
          </w:p>
        </w:tc>
        <w:tc>
          <w:tcPr>
            <w:tcW w:w="651" w:type="dxa"/>
            <w:tcBorders>
              <w:tl2br w:val="nil"/>
              <w:tr2bl w:val="nil"/>
            </w:tcBorders>
            <w:vAlign w:val="center"/>
          </w:tcPr>
          <w:p w14:paraId="6E2B7994">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vAlign w:val="center"/>
          </w:tcPr>
          <w:p w14:paraId="505C91C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767256B">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vAlign w:val="center"/>
          </w:tcPr>
          <w:p w14:paraId="2B70893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602" w:type="dxa"/>
            <w:tcBorders>
              <w:tl2br w:val="nil"/>
              <w:tr2bl w:val="nil"/>
            </w:tcBorders>
            <w:vAlign w:val="center"/>
          </w:tcPr>
          <w:p w14:paraId="181AA36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569" w:type="dxa"/>
            <w:tcBorders>
              <w:tl2br w:val="nil"/>
              <w:tr2bl w:val="nil"/>
            </w:tcBorders>
            <w:vAlign w:val="center"/>
          </w:tcPr>
          <w:p w14:paraId="263B593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04" w:type="dxa"/>
            <w:tcBorders>
              <w:tl2br w:val="nil"/>
              <w:tr2bl w:val="nil"/>
            </w:tcBorders>
            <w:shd w:val="clear" w:color="auto" w:fill="auto"/>
            <w:vAlign w:val="center"/>
          </w:tcPr>
          <w:p w14:paraId="46986468">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1A466B0">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60478FC">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11A29F70">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6FD6040C">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bottom w:val="single" w:color="auto" w:sz="4" w:space="0"/>
              <w:tl2br w:val="nil"/>
              <w:tr2bl w:val="nil"/>
            </w:tcBorders>
            <w:noWrap/>
            <w:vAlign w:val="center"/>
          </w:tcPr>
          <w:p w14:paraId="6BB68B4B">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81CB27D">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14D64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63DF06B">
            <w:pPr>
              <w:adjustRightInd w:val="0"/>
              <w:snapToGrid w:val="0"/>
              <w:spacing w:after="0" w:line="240" w:lineRule="auto"/>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51A0BA49">
            <w:pPr>
              <w:adjustRightInd w:val="0"/>
              <w:snapToGrid w:val="0"/>
              <w:spacing w:after="0" w:line="240" w:lineRule="auto"/>
              <w:rPr>
                <w:rFonts w:hint="eastAsia" w:ascii="宋体" w:hAnsi="宋体" w:eastAsia="宋体" w:cs="宋体"/>
                <w:sz w:val="21"/>
                <w:szCs w:val="21"/>
                <w:highlight w:val="none"/>
                <w:lang w:val="en-US" w:eastAsia="zh-CN"/>
              </w:rPr>
            </w:pPr>
          </w:p>
          <w:p w14:paraId="3401ED2F">
            <w:pPr>
              <w:adjustRightInd w:val="0"/>
              <w:snapToGrid w:val="0"/>
              <w:spacing w:after="0" w:line="240" w:lineRule="auto"/>
              <w:rPr>
                <w:rFonts w:hint="eastAsia" w:ascii="宋体" w:hAnsi="宋体" w:eastAsia="宋体" w:cs="宋体"/>
                <w:sz w:val="21"/>
                <w:szCs w:val="21"/>
                <w:highlight w:val="none"/>
                <w:lang w:val="en-US" w:eastAsia="zh-CN"/>
              </w:rPr>
            </w:pPr>
          </w:p>
          <w:p w14:paraId="0DECCBED">
            <w:pPr>
              <w:adjustRightInd w:val="0"/>
              <w:snapToGrid w:val="0"/>
              <w:spacing w:after="0" w:line="240" w:lineRule="auto"/>
              <w:rPr>
                <w:rFonts w:hint="eastAsia" w:ascii="宋体" w:hAnsi="宋体" w:eastAsia="宋体" w:cs="宋体"/>
                <w:sz w:val="21"/>
                <w:szCs w:val="21"/>
                <w:highlight w:val="none"/>
                <w:lang w:val="en-US" w:eastAsia="zh-CN"/>
              </w:rPr>
            </w:pPr>
          </w:p>
          <w:p w14:paraId="767CC2FF">
            <w:pPr>
              <w:adjustRightInd w:val="0"/>
              <w:snapToGrid w:val="0"/>
              <w:spacing w:after="0" w:line="240" w:lineRule="auto"/>
              <w:rPr>
                <w:rFonts w:hint="eastAsia" w:ascii="宋体" w:hAnsi="宋体" w:eastAsia="宋体" w:cs="宋体"/>
                <w:sz w:val="21"/>
                <w:szCs w:val="21"/>
                <w:highlight w:val="none"/>
                <w:lang w:val="en-US" w:eastAsia="zh-CN"/>
              </w:rPr>
            </w:pPr>
          </w:p>
          <w:p w14:paraId="3312C50F">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公共基础限定选修课程</w:t>
            </w:r>
          </w:p>
        </w:tc>
        <w:tc>
          <w:tcPr>
            <w:tcW w:w="1426" w:type="dxa"/>
            <w:tcBorders>
              <w:tl2br w:val="nil"/>
              <w:tr2bl w:val="nil"/>
            </w:tcBorders>
            <w:vAlign w:val="center"/>
          </w:tcPr>
          <w:p w14:paraId="5F534511">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形势与政策</w:t>
            </w:r>
          </w:p>
        </w:tc>
        <w:tc>
          <w:tcPr>
            <w:tcW w:w="651" w:type="dxa"/>
            <w:tcBorders>
              <w:tl2br w:val="nil"/>
              <w:tr2bl w:val="nil"/>
            </w:tcBorders>
            <w:vAlign w:val="center"/>
          </w:tcPr>
          <w:p w14:paraId="050DBAB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413" w:type="dxa"/>
            <w:tcBorders>
              <w:tl2br w:val="nil"/>
              <w:tr2bl w:val="nil"/>
            </w:tcBorders>
            <w:vAlign w:val="center"/>
          </w:tcPr>
          <w:p w14:paraId="205138B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18A2D66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3B7938F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602" w:type="dxa"/>
            <w:tcBorders>
              <w:tl2br w:val="nil"/>
              <w:tr2bl w:val="nil"/>
            </w:tcBorders>
            <w:vAlign w:val="center"/>
          </w:tcPr>
          <w:p w14:paraId="7C7538A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3228" w:type="dxa"/>
            <w:gridSpan w:val="6"/>
            <w:tcBorders>
              <w:right w:val="single" w:color="auto" w:sz="4" w:space="0"/>
              <w:tl2br w:val="nil"/>
              <w:tr2bl w:val="nil"/>
            </w:tcBorders>
            <w:shd w:val="clear" w:color="auto" w:fill="auto"/>
            <w:vAlign w:val="center"/>
          </w:tcPr>
          <w:p w14:paraId="00C5481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8节</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/学期</w:t>
            </w:r>
            <w:r>
              <w:rPr>
                <w:rFonts w:hint="eastAsia" w:ascii="宋体" w:hAnsi="宋体" w:eastAsia="宋体" w:cs="宋体"/>
                <w:b w:val="0"/>
                <w:bCs w:val="0"/>
                <w:color w:val="000000" w:themeColor="text1"/>
                <w:sz w:val="21"/>
                <w:szCs w:val="21"/>
                <w:highlight w:val="none"/>
                <w14:textFill>
                  <w14:solidFill>
                    <w14:schemeClr w14:val="tx1"/>
                  </w14:solidFill>
                </w14:textFill>
              </w:rPr>
              <w:t>，4次学生实践（调研）</w:t>
            </w:r>
          </w:p>
        </w:tc>
        <w:tc>
          <w:tcPr>
            <w:tcW w:w="469" w:type="dxa"/>
            <w:tcBorders>
              <w:top w:val="single" w:color="auto" w:sz="4" w:space="0"/>
              <w:left w:val="single" w:color="auto" w:sz="4" w:space="0"/>
              <w:bottom w:val="single" w:color="auto" w:sz="4" w:space="0"/>
              <w:right w:val="single" w:color="auto" w:sz="4" w:space="0"/>
              <w:tl2br w:val="nil"/>
              <w:tr2bl w:val="nil"/>
            </w:tcBorders>
            <w:shd w:val="clear" w:color="auto" w:fill="auto"/>
            <w:vAlign w:val="center"/>
          </w:tcPr>
          <w:p w14:paraId="5CF80E57">
            <w:pPr>
              <w:adjustRightInd w:val="0"/>
              <w:snapToGrid w:val="0"/>
              <w:spacing w:after="0" w:line="240" w:lineRule="auto"/>
              <w:rPr>
                <w:rFonts w:hint="eastAsia" w:ascii="宋体" w:hAnsi="宋体" w:eastAsia="宋体" w:cs="宋体"/>
                <w:b w:val="0"/>
                <w:bCs w:val="0"/>
                <w:color w:val="auto"/>
                <w:sz w:val="21"/>
                <w:szCs w:val="21"/>
                <w:highlight w:val="none"/>
                <w:lang w:val="en-US" w:eastAsia="zh-CN"/>
              </w:rPr>
            </w:pPr>
          </w:p>
        </w:tc>
        <w:tc>
          <w:tcPr>
            <w:tcW w:w="522" w:type="dxa"/>
            <w:tcBorders>
              <w:left w:val="single" w:color="auto" w:sz="4" w:space="0"/>
              <w:right w:val="thinThickSmallGap" w:color="000000" w:sz="12" w:space="0"/>
              <w:tl2br w:val="nil"/>
              <w:tr2bl w:val="nil"/>
            </w:tcBorders>
            <w:shd w:val="clear" w:color="auto" w:fill="auto"/>
            <w:vAlign w:val="center"/>
          </w:tcPr>
          <w:p w14:paraId="43D19695">
            <w:pPr>
              <w:adjustRightInd w:val="0"/>
              <w:snapToGrid w:val="0"/>
              <w:spacing w:after="0" w:line="240" w:lineRule="auto"/>
              <w:rPr>
                <w:rFonts w:hint="eastAsia" w:ascii="宋体" w:hAnsi="宋体" w:eastAsia="宋体" w:cs="宋体"/>
                <w:b w:val="0"/>
                <w:bCs w:val="0"/>
                <w:color w:val="auto"/>
                <w:sz w:val="21"/>
                <w:szCs w:val="21"/>
                <w:highlight w:val="none"/>
              </w:rPr>
            </w:pPr>
          </w:p>
        </w:tc>
      </w:tr>
      <w:tr w14:paraId="1FDE833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341" w:type="dxa"/>
            <w:vMerge w:val="continue"/>
            <w:tcBorders>
              <w:left w:val="thinThickSmallGap" w:color="000000" w:sz="12" w:space="0"/>
              <w:tl2br w:val="nil"/>
              <w:tr2bl w:val="nil"/>
            </w:tcBorders>
            <w:vAlign w:val="center"/>
          </w:tcPr>
          <w:p w14:paraId="73543EE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525183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04D24445">
            <w:pPr>
              <w:adjustRightInd w:val="0"/>
              <w:snapToGrid w:val="0"/>
              <w:spacing w:after="0" w:line="240" w:lineRule="auto"/>
              <w:rPr>
                <w:rFonts w:hint="default"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中华民族共同体意识</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线上16线下16）</w:t>
            </w:r>
          </w:p>
        </w:tc>
        <w:tc>
          <w:tcPr>
            <w:tcW w:w="651" w:type="dxa"/>
            <w:tcBorders>
              <w:tl2br w:val="nil"/>
              <w:tr2bl w:val="nil"/>
            </w:tcBorders>
            <w:shd w:val="clear" w:color="auto" w:fill="auto"/>
            <w:vAlign w:val="center"/>
          </w:tcPr>
          <w:p w14:paraId="2931A72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413" w:type="dxa"/>
            <w:tcBorders>
              <w:tl2br w:val="nil"/>
              <w:tr2bl w:val="nil"/>
            </w:tcBorders>
            <w:shd w:val="clear" w:color="auto" w:fill="auto"/>
            <w:vAlign w:val="center"/>
          </w:tcPr>
          <w:p w14:paraId="4AC1218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auto"/>
            <w:vAlign w:val="center"/>
          </w:tcPr>
          <w:p w14:paraId="02905FC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619" w:type="dxa"/>
            <w:tcBorders>
              <w:tl2br w:val="nil"/>
              <w:tr2bl w:val="nil"/>
            </w:tcBorders>
            <w:shd w:val="clear" w:color="auto" w:fill="auto"/>
            <w:vAlign w:val="center"/>
          </w:tcPr>
          <w:p w14:paraId="5B2F236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602" w:type="dxa"/>
            <w:tcBorders>
              <w:tl2br w:val="nil"/>
              <w:tr2bl w:val="nil"/>
            </w:tcBorders>
            <w:shd w:val="clear" w:color="auto" w:fill="auto"/>
            <w:vAlign w:val="center"/>
          </w:tcPr>
          <w:p w14:paraId="6508A45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1E9AB91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504" w:type="dxa"/>
            <w:tcBorders>
              <w:tl2br w:val="nil"/>
              <w:tr2bl w:val="nil"/>
            </w:tcBorders>
            <w:shd w:val="clear" w:color="auto" w:fill="auto"/>
            <w:vAlign w:val="center"/>
          </w:tcPr>
          <w:p w14:paraId="0B8DA08D">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535" w:type="dxa"/>
            <w:tcBorders>
              <w:tl2br w:val="nil"/>
              <w:tr2bl w:val="nil"/>
            </w:tcBorders>
            <w:shd w:val="clear" w:color="auto" w:fill="92D050"/>
            <w:vAlign w:val="center"/>
          </w:tcPr>
          <w:p w14:paraId="436B873D">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802BB9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6E3C357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FE1982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op w:val="single" w:color="auto" w:sz="4" w:space="0"/>
              <w:tl2br w:val="nil"/>
              <w:tr2bl w:val="nil"/>
            </w:tcBorders>
            <w:shd w:val="clear" w:color="auto" w:fill="auto"/>
            <w:noWrap/>
            <w:vAlign w:val="center"/>
          </w:tcPr>
          <w:p w14:paraId="5D6167F6">
            <w:pPr>
              <w:adjustRightInd w:val="0"/>
              <w:snapToGrid w:val="0"/>
              <w:spacing w:after="0" w:line="240" w:lineRule="auto"/>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1642042">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61669AA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F0F81A">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F8B6299">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5B2B9AFC">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国家安全教育</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线上8线下8）</w:t>
            </w:r>
          </w:p>
        </w:tc>
        <w:tc>
          <w:tcPr>
            <w:tcW w:w="651" w:type="dxa"/>
            <w:tcBorders>
              <w:tl2br w:val="nil"/>
              <w:tr2bl w:val="nil"/>
            </w:tcBorders>
            <w:shd w:val="clear" w:color="auto" w:fill="auto"/>
            <w:vAlign w:val="center"/>
          </w:tcPr>
          <w:p w14:paraId="1F91D39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30D1C83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64C9545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1A603A7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7E08609C">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3C166BE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23260E83">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rPr>
            </w:pPr>
            <w:r>
              <w:rPr>
                <w:rFonts w:hint="eastAsia" w:ascii="宋体" w:hAnsi="宋体" w:eastAsia="宋体" w:cs="宋体"/>
                <w:b/>
                <w:bCs/>
                <w:color w:val="FF0000"/>
                <w:sz w:val="21"/>
                <w:szCs w:val="21"/>
                <w:highlight w:val="yellow"/>
                <w:lang w:val="en-US" w:eastAsia="zh-CN"/>
              </w:rPr>
              <w:t>1</w:t>
            </w:r>
          </w:p>
        </w:tc>
        <w:tc>
          <w:tcPr>
            <w:tcW w:w="535" w:type="dxa"/>
            <w:tcBorders>
              <w:tl2br w:val="nil"/>
              <w:tr2bl w:val="nil"/>
            </w:tcBorders>
            <w:shd w:val="clear" w:color="auto" w:fill="92D050"/>
            <w:vAlign w:val="center"/>
          </w:tcPr>
          <w:p w14:paraId="18536ACC">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4D9F16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55BB762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431D22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5D0F31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6A6233CA">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123C856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C434329">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2FC06F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0729EA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职业</w:t>
            </w:r>
            <w:r>
              <w:rPr>
                <w:rFonts w:hint="eastAsia" w:ascii="宋体" w:hAnsi="宋体" w:eastAsia="宋体" w:cs="宋体"/>
                <w:sz w:val="21"/>
                <w:szCs w:val="21"/>
                <w:highlight w:val="none"/>
                <w:lang w:val="en-US" w:eastAsia="zh-CN"/>
              </w:rPr>
              <w:t>生涯</w:t>
            </w:r>
            <w:r>
              <w:rPr>
                <w:rFonts w:hint="eastAsia" w:ascii="宋体" w:hAnsi="宋体" w:eastAsia="宋体" w:cs="宋体"/>
                <w:sz w:val="21"/>
                <w:szCs w:val="21"/>
                <w:highlight w:val="none"/>
              </w:rPr>
              <w:t>规划</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线上12线下16）</w:t>
            </w:r>
          </w:p>
        </w:tc>
        <w:tc>
          <w:tcPr>
            <w:tcW w:w="651" w:type="dxa"/>
            <w:tcBorders>
              <w:tl2br w:val="nil"/>
              <w:tr2bl w:val="nil"/>
            </w:tcBorders>
            <w:shd w:val="clear" w:color="auto" w:fill="auto"/>
            <w:vAlign w:val="center"/>
          </w:tcPr>
          <w:p w14:paraId="0515611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71723E2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7E81E8F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5A389F4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10</w:t>
            </w:r>
          </w:p>
        </w:tc>
        <w:tc>
          <w:tcPr>
            <w:tcW w:w="602" w:type="dxa"/>
            <w:tcBorders>
              <w:tl2br w:val="nil"/>
              <w:tr2bl w:val="nil"/>
            </w:tcBorders>
            <w:shd w:val="clear" w:color="auto" w:fill="auto"/>
            <w:vAlign w:val="center"/>
          </w:tcPr>
          <w:p w14:paraId="5DC90D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6</w:t>
            </w:r>
          </w:p>
        </w:tc>
        <w:tc>
          <w:tcPr>
            <w:tcW w:w="569" w:type="dxa"/>
            <w:tcBorders>
              <w:tl2br w:val="nil"/>
              <w:tr2bl w:val="nil"/>
            </w:tcBorders>
            <w:shd w:val="clear" w:color="auto" w:fill="auto"/>
            <w:vAlign w:val="center"/>
          </w:tcPr>
          <w:p w14:paraId="4FB7C92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84AF366">
            <w:pPr>
              <w:adjustRightInd w:val="0"/>
              <w:snapToGrid w:val="0"/>
              <w:spacing w:after="0" w:line="240" w:lineRule="auto"/>
              <w:jc w:val="center"/>
              <w:rPr>
                <w:rFonts w:hint="default" w:ascii="宋体" w:hAnsi="宋体" w:eastAsia="宋体" w:cs="宋体"/>
                <w:b w:val="0"/>
                <w:bCs w:val="0"/>
                <w:color w:val="FF0000"/>
                <w:sz w:val="21"/>
                <w:szCs w:val="21"/>
                <w:highlight w:val="yellow"/>
                <w:lang w:val="en-US" w:eastAsia="zh-CN"/>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92D050"/>
            <w:vAlign w:val="center"/>
          </w:tcPr>
          <w:p w14:paraId="71A0A61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059F41E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15BE9DE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CD90A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B155DA2">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6B81813">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F818A1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7A16D15">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9B13AE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F6BDA02">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就业与创业指导</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线上12线下8）</w:t>
            </w:r>
          </w:p>
        </w:tc>
        <w:tc>
          <w:tcPr>
            <w:tcW w:w="651" w:type="dxa"/>
            <w:tcBorders>
              <w:tl2br w:val="nil"/>
              <w:tr2bl w:val="nil"/>
            </w:tcBorders>
            <w:shd w:val="clear" w:color="auto" w:fill="auto"/>
            <w:vAlign w:val="center"/>
          </w:tcPr>
          <w:p w14:paraId="5EE5F1E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6FC6612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49C5F83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0DAE11A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1DDDE5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91FB9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CF7415A">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ABDAD3B">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bCs/>
                <w:color w:val="70AD47" w:themeColor="accent6"/>
                <w:sz w:val="21"/>
                <w:szCs w:val="21"/>
                <w:highlight w:val="yellow"/>
                <w:lang w:val="en-US" w:eastAsia="zh-CN" w:bidi="ar-SA"/>
                <w14:textFill>
                  <w14:solidFill>
                    <w14:schemeClr w14:val="accent6"/>
                  </w14:solidFill>
                </w14:textFill>
              </w:rPr>
              <w:t>1</w:t>
            </w:r>
          </w:p>
        </w:tc>
        <w:tc>
          <w:tcPr>
            <w:tcW w:w="535" w:type="dxa"/>
            <w:tcBorders>
              <w:tl2br w:val="nil"/>
              <w:tr2bl w:val="nil"/>
            </w:tcBorders>
            <w:shd w:val="clear" w:color="auto" w:fill="auto"/>
            <w:vAlign w:val="center"/>
          </w:tcPr>
          <w:p w14:paraId="2694095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2A98FDD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6CC6C8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C2E61C1">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1184306">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A14037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C436B4E">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1ED4FB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86687D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大学生创新创业教育</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4E05516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041AEF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2FA7522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661149C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106CBA7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52F6930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DF9395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1872149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9F438D9">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5A9DE0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FFD2D6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0D503B59">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6A3F6C0">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6FDBC5B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61D033AB">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F22532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D19E90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职业素养</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5709EF2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29D406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DE32EDA">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4C53E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697AF4C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4BE0399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50D29E7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4754D3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889DB15">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7E38538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A5E4FE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E86DC27">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B740BC0">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BD2AC4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0640CA77">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1E823D7">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11C88DE7">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信息技术</w:t>
            </w:r>
          </w:p>
        </w:tc>
        <w:tc>
          <w:tcPr>
            <w:tcW w:w="651" w:type="dxa"/>
            <w:tcBorders>
              <w:tl2br w:val="nil"/>
              <w:tr2bl w:val="nil"/>
            </w:tcBorders>
            <w:shd w:val="clear" w:color="auto" w:fill="auto"/>
            <w:vAlign w:val="center"/>
          </w:tcPr>
          <w:p w14:paraId="0F8F5F2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shd w:val="clear" w:color="auto" w:fill="auto"/>
            <w:vAlign w:val="center"/>
          </w:tcPr>
          <w:p w14:paraId="746C7D5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581" w:type="dxa"/>
            <w:tcBorders>
              <w:tl2br w:val="nil"/>
              <w:tr2bl w:val="nil"/>
            </w:tcBorders>
            <w:shd w:val="clear" w:color="auto" w:fill="auto"/>
            <w:vAlign w:val="center"/>
          </w:tcPr>
          <w:p w14:paraId="59D36BF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619" w:type="dxa"/>
            <w:tcBorders>
              <w:tl2br w:val="nil"/>
              <w:tr2bl w:val="nil"/>
            </w:tcBorders>
            <w:shd w:val="clear" w:color="auto" w:fill="auto"/>
            <w:vAlign w:val="center"/>
          </w:tcPr>
          <w:p w14:paraId="02C689D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shd w:val="clear" w:color="auto" w:fill="auto"/>
            <w:vAlign w:val="center"/>
          </w:tcPr>
          <w:p w14:paraId="5843A5A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shd w:val="clear" w:color="auto" w:fill="auto"/>
            <w:vAlign w:val="center"/>
          </w:tcPr>
          <w:p w14:paraId="47E03CD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79831DB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D0FF034">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5266FC1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54E4F85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DEA23D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C31330A">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4EF4DE07">
            <w:pPr>
              <w:adjustRightInd w:val="0"/>
              <w:snapToGrid w:val="0"/>
              <w:spacing w:after="0" w:line="240" w:lineRule="auto"/>
              <w:rPr>
                <w:rFonts w:hint="eastAsia" w:ascii="宋体" w:hAnsi="宋体" w:eastAsia="宋体" w:cs="宋体"/>
                <w:b w:val="0"/>
                <w:bCs w:val="0"/>
                <w:sz w:val="21"/>
                <w:szCs w:val="21"/>
                <w:highlight w:val="none"/>
              </w:rPr>
            </w:pPr>
          </w:p>
        </w:tc>
      </w:tr>
      <w:tr w14:paraId="47A1B37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4920E58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0BB0B76">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29FC0674">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大学美育</w:t>
            </w:r>
          </w:p>
        </w:tc>
        <w:tc>
          <w:tcPr>
            <w:tcW w:w="651" w:type="dxa"/>
            <w:tcBorders>
              <w:tl2br w:val="nil"/>
              <w:tr2bl w:val="nil"/>
            </w:tcBorders>
            <w:shd w:val="clear" w:color="auto" w:fill="auto"/>
            <w:vAlign w:val="center"/>
          </w:tcPr>
          <w:p w14:paraId="503B1B6F">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shd w:val="clear" w:color="auto" w:fill="auto"/>
            <w:vAlign w:val="center"/>
          </w:tcPr>
          <w:p w14:paraId="14F8A575">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52129A9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shd w:val="clear" w:color="auto" w:fill="auto"/>
            <w:vAlign w:val="center"/>
          </w:tcPr>
          <w:p w14:paraId="23D86A7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w:t>
            </w:r>
          </w:p>
        </w:tc>
        <w:tc>
          <w:tcPr>
            <w:tcW w:w="602" w:type="dxa"/>
            <w:tcBorders>
              <w:tl2br w:val="nil"/>
              <w:tr2bl w:val="nil"/>
            </w:tcBorders>
            <w:shd w:val="clear" w:color="auto" w:fill="auto"/>
            <w:vAlign w:val="center"/>
          </w:tcPr>
          <w:p w14:paraId="4AA1098F">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w:t>
            </w:r>
          </w:p>
        </w:tc>
        <w:tc>
          <w:tcPr>
            <w:tcW w:w="569" w:type="dxa"/>
            <w:tcBorders>
              <w:tl2br w:val="nil"/>
              <w:tr2bl w:val="nil"/>
            </w:tcBorders>
            <w:shd w:val="clear" w:color="auto" w:fill="auto"/>
            <w:vAlign w:val="center"/>
          </w:tcPr>
          <w:p w14:paraId="4E02055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7D426B73">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39A2F26">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auto"/>
            <w:vAlign w:val="center"/>
          </w:tcPr>
          <w:p w14:paraId="1A57BA16">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7776F1C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C6D606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195B953">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CA5C73F">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DB30B9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34A2184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22D1C7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2811171">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中华优秀传统文化</w:t>
            </w:r>
          </w:p>
        </w:tc>
        <w:tc>
          <w:tcPr>
            <w:tcW w:w="651" w:type="dxa"/>
            <w:tcBorders>
              <w:tl2br w:val="nil"/>
              <w:tr2bl w:val="nil"/>
            </w:tcBorders>
            <w:shd w:val="clear" w:color="auto" w:fill="auto"/>
            <w:vAlign w:val="center"/>
          </w:tcPr>
          <w:p w14:paraId="3516C136">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shd w:val="clear" w:color="auto" w:fill="auto"/>
            <w:vAlign w:val="center"/>
          </w:tcPr>
          <w:p w14:paraId="418A663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shd w:val="clear" w:color="auto" w:fill="auto"/>
            <w:vAlign w:val="center"/>
          </w:tcPr>
          <w:p w14:paraId="2D683C3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086857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shd w:val="clear" w:color="auto" w:fill="auto"/>
            <w:vAlign w:val="center"/>
          </w:tcPr>
          <w:p w14:paraId="54C1D8F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12</w:t>
            </w:r>
          </w:p>
        </w:tc>
        <w:tc>
          <w:tcPr>
            <w:tcW w:w="569" w:type="dxa"/>
            <w:tcBorders>
              <w:tl2br w:val="nil"/>
              <w:tr2bl w:val="nil"/>
            </w:tcBorders>
            <w:shd w:val="clear" w:color="auto" w:fill="auto"/>
            <w:vAlign w:val="center"/>
          </w:tcPr>
          <w:p w14:paraId="1145D33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3DF3647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1BC188E">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7DD8EF56">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4D2AD205">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6CB238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90BC401">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82EFD1C">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EC053E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2619DA69">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9C27C0B">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639E5FC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中国共产党历史</w:t>
            </w:r>
          </w:p>
        </w:tc>
        <w:tc>
          <w:tcPr>
            <w:tcW w:w="651" w:type="dxa"/>
            <w:tcBorders>
              <w:tl2br w:val="nil"/>
              <w:tr2bl w:val="nil"/>
            </w:tcBorders>
            <w:shd w:val="clear" w:color="auto" w:fill="auto"/>
            <w:vAlign w:val="center"/>
          </w:tcPr>
          <w:p w14:paraId="0C7A2BF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9B0E5B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3ABF681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008CD93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602" w:type="dxa"/>
            <w:tcBorders>
              <w:tl2br w:val="nil"/>
              <w:tr2bl w:val="nil"/>
            </w:tcBorders>
            <w:shd w:val="clear" w:color="auto" w:fill="auto"/>
            <w:vAlign w:val="center"/>
          </w:tcPr>
          <w:p w14:paraId="4BE097D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E299AA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0CD84B8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bidi="ar-SA"/>
              </w:rPr>
              <w:t>*</w:t>
            </w:r>
          </w:p>
        </w:tc>
        <w:tc>
          <w:tcPr>
            <w:tcW w:w="535" w:type="dxa"/>
            <w:tcBorders>
              <w:tl2br w:val="nil"/>
              <w:tr2bl w:val="nil"/>
            </w:tcBorders>
            <w:shd w:val="clear" w:color="auto" w:fill="92D050"/>
            <w:vAlign w:val="center"/>
          </w:tcPr>
          <w:p w14:paraId="415FA44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10F1B5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3B31EC8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9D4A97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00C06D8">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98B36D9">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0E48D26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1" w:type="dxa"/>
            <w:vMerge w:val="continue"/>
            <w:tcBorders>
              <w:left w:val="thinThickSmallGap" w:color="000000" w:sz="12" w:space="0"/>
              <w:tl2br w:val="nil"/>
              <w:tr2bl w:val="nil"/>
            </w:tcBorders>
            <w:vAlign w:val="center"/>
          </w:tcPr>
          <w:p w14:paraId="652E5F80">
            <w:pPr>
              <w:adjustRightInd w:val="0"/>
              <w:snapToGrid w:val="0"/>
              <w:spacing w:after="0" w:line="240" w:lineRule="auto"/>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2DFE461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公共基础课程</w:t>
            </w:r>
          </w:p>
        </w:tc>
        <w:tc>
          <w:tcPr>
            <w:tcW w:w="1426" w:type="dxa"/>
            <w:tcBorders>
              <w:tl2br w:val="nil"/>
              <w:tr2bl w:val="nil"/>
            </w:tcBorders>
            <w:vAlign w:val="center"/>
          </w:tcPr>
          <w:p w14:paraId="16784ECD">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大学语文</w:t>
            </w:r>
          </w:p>
        </w:tc>
        <w:tc>
          <w:tcPr>
            <w:tcW w:w="651" w:type="dxa"/>
            <w:tcBorders>
              <w:tl2br w:val="nil"/>
              <w:tr2bl w:val="nil"/>
            </w:tcBorders>
            <w:vAlign w:val="center"/>
          </w:tcPr>
          <w:p w14:paraId="47E2CBD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AA62AB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6041E8B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DDC6EC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56</w:t>
            </w:r>
          </w:p>
        </w:tc>
        <w:tc>
          <w:tcPr>
            <w:tcW w:w="602" w:type="dxa"/>
            <w:tcBorders>
              <w:tl2br w:val="nil"/>
              <w:tr2bl w:val="nil"/>
            </w:tcBorders>
            <w:vAlign w:val="center"/>
          </w:tcPr>
          <w:p w14:paraId="32D4D9F4">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569" w:type="dxa"/>
            <w:tcBorders>
              <w:tl2br w:val="nil"/>
              <w:tr2bl w:val="nil"/>
            </w:tcBorders>
            <w:vAlign w:val="center"/>
          </w:tcPr>
          <w:p w14:paraId="7EB707D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C780DE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7346BC4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1274B2A">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1CE8D4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1F74D5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22710B7">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635A5EA">
            <w:pPr>
              <w:adjustRightInd w:val="0"/>
              <w:snapToGrid w:val="0"/>
              <w:spacing w:after="0" w:line="240" w:lineRule="auto"/>
              <w:rPr>
                <w:rFonts w:hint="eastAsia" w:ascii="宋体" w:hAnsi="宋体" w:eastAsia="宋体" w:cs="宋体"/>
                <w:b w:val="0"/>
                <w:bCs w:val="0"/>
                <w:sz w:val="21"/>
                <w:szCs w:val="21"/>
                <w:highlight w:val="none"/>
              </w:rPr>
            </w:pPr>
          </w:p>
        </w:tc>
      </w:tr>
      <w:tr w14:paraId="1E6856C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E9A957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662AC01">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vAlign w:val="center"/>
          </w:tcPr>
          <w:p w14:paraId="2B6890C2">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高等数学</w:t>
            </w:r>
          </w:p>
        </w:tc>
        <w:tc>
          <w:tcPr>
            <w:tcW w:w="651" w:type="dxa"/>
            <w:tcBorders>
              <w:tl2br w:val="nil"/>
              <w:tr2bl w:val="nil"/>
            </w:tcBorders>
            <w:vAlign w:val="center"/>
          </w:tcPr>
          <w:p w14:paraId="473AAF3D">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F5069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5B999823">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4A6BE857">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602" w:type="dxa"/>
            <w:tcBorders>
              <w:tl2br w:val="nil"/>
              <w:tr2bl w:val="nil"/>
            </w:tcBorders>
            <w:vAlign w:val="center"/>
          </w:tcPr>
          <w:p w14:paraId="2ED7A1F3">
            <w:pPr>
              <w:adjustRightInd w:val="0"/>
              <w:snapToGrid w:val="0"/>
              <w:spacing w:after="0" w:line="240" w:lineRule="auto"/>
              <w:jc w:val="center"/>
              <w:rPr>
                <w:rFonts w:hint="eastAsia" w:ascii="宋体" w:hAnsi="宋体" w:eastAsia="宋体" w:cs="宋体"/>
                <w:b w:val="0"/>
                <w:bCs w:val="0"/>
                <w:sz w:val="21"/>
                <w:szCs w:val="21"/>
                <w:highlight w:val="none"/>
              </w:rPr>
            </w:pPr>
          </w:p>
        </w:tc>
        <w:tc>
          <w:tcPr>
            <w:tcW w:w="569" w:type="dxa"/>
            <w:tcBorders>
              <w:tl2br w:val="nil"/>
              <w:tr2bl w:val="nil"/>
            </w:tcBorders>
            <w:vAlign w:val="center"/>
          </w:tcPr>
          <w:p w14:paraId="37ABD69E">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1D0B4FB7">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4AF609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F1CCE5D">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vAlign w:val="center"/>
          </w:tcPr>
          <w:p w14:paraId="2F44F099">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0B36AA9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4E756A9">
            <w:pPr>
              <w:adjustRightInd w:val="0"/>
              <w:snapToGrid w:val="0"/>
              <w:spacing w:after="0" w:line="240" w:lineRule="auto"/>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5A3F2FF6">
            <w:pPr>
              <w:adjustRightInd w:val="0"/>
              <w:snapToGrid w:val="0"/>
              <w:spacing w:after="0" w:line="240" w:lineRule="auto"/>
              <w:rPr>
                <w:rFonts w:hint="eastAsia" w:ascii="宋体" w:hAnsi="宋体" w:eastAsia="宋体" w:cs="宋体"/>
                <w:b w:val="0"/>
                <w:bCs w:val="0"/>
                <w:sz w:val="21"/>
                <w:szCs w:val="21"/>
                <w:highlight w:val="none"/>
              </w:rPr>
            </w:pPr>
          </w:p>
        </w:tc>
      </w:tr>
      <w:tr w14:paraId="475688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1802FC6D">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F603AE2">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4BF54D53">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大学英语</w:t>
            </w:r>
          </w:p>
        </w:tc>
        <w:tc>
          <w:tcPr>
            <w:tcW w:w="651" w:type="dxa"/>
            <w:tcBorders>
              <w:tl2br w:val="nil"/>
              <w:tr2bl w:val="nil"/>
            </w:tcBorders>
            <w:shd w:val="clear" w:color="auto" w:fill="auto"/>
            <w:vAlign w:val="center"/>
          </w:tcPr>
          <w:p w14:paraId="35D716D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3F59A7A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2B24E22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2873D61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108</w:t>
            </w:r>
          </w:p>
        </w:tc>
        <w:tc>
          <w:tcPr>
            <w:tcW w:w="602" w:type="dxa"/>
            <w:tcBorders>
              <w:tl2br w:val="nil"/>
              <w:tr2bl w:val="nil"/>
            </w:tcBorders>
            <w:shd w:val="clear" w:color="auto" w:fill="auto"/>
            <w:vAlign w:val="center"/>
          </w:tcPr>
          <w:p w14:paraId="752244F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36</w:t>
            </w:r>
          </w:p>
        </w:tc>
        <w:tc>
          <w:tcPr>
            <w:tcW w:w="569" w:type="dxa"/>
            <w:tcBorders>
              <w:tl2br w:val="nil"/>
              <w:tr2bl w:val="nil"/>
            </w:tcBorders>
            <w:shd w:val="clear" w:color="auto" w:fill="auto"/>
            <w:vAlign w:val="center"/>
          </w:tcPr>
          <w:p w14:paraId="0AE9FD3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04" w:type="dxa"/>
            <w:tcBorders>
              <w:tl2br w:val="nil"/>
              <w:tr2bl w:val="nil"/>
            </w:tcBorders>
            <w:shd w:val="clear" w:color="auto" w:fill="auto"/>
            <w:vAlign w:val="center"/>
          </w:tcPr>
          <w:p w14:paraId="093B2349">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35" w:type="dxa"/>
            <w:tcBorders>
              <w:tl2br w:val="nil"/>
              <w:tr2bl w:val="nil"/>
            </w:tcBorders>
            <w:shd w:val="clear" w:color="auto" w:fill="92D050"/>
            <w:vAlign w:val="center"/>
          </w:tcPr>
          <w:p w14:paraId="27175963">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19CE410">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7FE4742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4A55C3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68F7D148">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7717F4E">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73FDB45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9438F83">
            <w:pPr>
              <w:adjustRightInd w:val="0"/>
              <w:snapToGrid w:val="0"/>
              <w:spacing w:after="0" w:line="240" w:lineRule="auto"/>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7DE36C6">
            <w:pPr>
              <w:adjustRightInd w:val="0"/>
              <w:snapToGrid w:val="0"/>
              <w:spacing w:after="0" w:line="240" w:lineRule="auto"/>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34A9792A">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大学体育</w:t>
            </w:r>
          </w:p>
        </w:tc>
        <w:tc>
          <w:tcPr>
            <w:tcW w:w="651" w:type="dxa"/>
            <w:tcBorders>
              <w:tl2br w:val="nil"/>
              <w:tr2bl w:val="nil"/>
            </w:tcBorders>
            <w:shd w:val="clear" w:color="auto" w:fill="auto"/>
            <w:vAlign w:val="center"/>
          </w:tcPr>
          <w:p w14:paraId="0F3FC1F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6E0ABE5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4DC2C77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17BE3D0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90</w:t>
            </w:r>
          </w:p>
        </w:tc>
        <w:tc>
          <w:tcPr>
            <w:tcW w:w="602" w:type="dxa"/>
            <w:tcBorders>
              <w:tl2br w:val="nil"/>
              <w:tr2bl w:val="nil"/>
            </w:tcBorders>
            <w:shd w:val="clear" w:color="auto" w:fill="auto"/>
            <w:vAlign w:val="center"/>
          </w:tcPr>
          <w:p w14:paraId="748EB9D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54</w:t>
            </w:r>
          </w:p>
        </w:tc>
        <w:tc>
          <w:tcPr>
            <w:tcW w:w="569" w:type="dxa"/>
            <w:tcBorders>
              <w:tl2br w:val="nil"/>
              <w:tr2bl w:val="nil"/>
            </w:tcBorders>
            <w:shd w:val="clear" w:color="auto" w:fill="auto"/>
            <w:vAlign w:val="center"/>
          </w:tcPr>
          <w:p w14:paraId="575AC69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37FBCEA7">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534C419B">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auto"/>
            <w:vAlign w:val="center"/>
          </w:tcPr>
          <w:p w14:paraId="7900E347">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11AA7B7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7174268">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867F07F">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339984D2">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0E9683C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2185" w:type="dxa"/>
            <w:gridSpan w:val="4"/>
            <w:tcBorders>
              <w:left w:val="thinThickSmallGap" w:color="000000" w:sz="12" w:space="0"/>
              <w:tl2br w:val="nil"/>
              <w:tr2bl w:val="nil"/>
            </w:tcBorders>
            <w:vAlign w:val="center"/>
          </w:tcPr>
          <w:p w14:paraId="0FAEB846">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shd w:val="clear" w:color="auto" w:fill="auto"/>
            <w:vAlign w:val="center"/>
          </w:tcPr>
          <w:p w14:paraId="51E5631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988</w:t>
            </w:r>
          </w:p>
        </w:tc>
        <w:tc>
          <w:tcPr>
            <w:tcW w:w="413" w:type="dxa"/>
            <w:tcBorders>
              <w:tl2br w:val="nil"/>
              <w:tr2bl w:val="nil"/>
            </w:tcBorders>
            <w:shd w:val="clear" w:color="auto" w:fill="auto"/>
            <w:vAlign w:val="center"/>
          </w:tcPr>
          <w:p w14:paraId="5A8574CB">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18"/>
                <w:szCs w:val="18"/>
                <w:highlight w:val="none"/>
                <w:lang w:val="en-US" w:eastAsia="zh-CN" w:bidi="ar-SA"/>
              </w:rPr>
              <w:t>58</w:t>
            </w:r>
          </w:p>
        </w:tc>
        <w:tc>
          <w:tcPr>
            <w:tcW w:w="581" w:type="dxa"/>
            <w:tcBorders>
              <w:tl2br w:val="nil"/>
              <w:tr2bl w:val="nil"/>
            </w:tcBorders>
            <w:shd w:val="clear" w:color="auto" w:fill="auto"/>
            <w:vAlign w:val="center"/>
          </w:tcPr>
          <w:p w14:paraId="5A672FC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35</w:t>
            </w:r>
          </w:p>
        </w:tc>
        <w:tc>
          <w:tcPr>
            <w:tcW w:w="619" w:type="dxa"/>
            <w:tcBorders>
              <w:tl2br w:val="nil"/>
              <w:tr2bl w:val="nil"/>
            </w:tcBorders>
            <w:shd w:val="clear" w:color="auto" w:fill="auto"/>
            <w:vAlign w:val="center"/>
          </w:tcPr>
          <w:p w14:paraId="4C309C0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639</w:t>
            </w:r>
          </w:p>
        </w:tc>
        <w:tc>
          <w:tcPr>
            <w:tcW w:w="602" w:type="dxa"/>
            <w:tcBorders>
              <w:tl2br w:val="nil"/>
              <w:tr2bl w:val="nil"/>
            </w:tcBorders>
            <w:shd w:val="clear" w:color="auto" w:fill="auto"/>
            <w:vAlign w:val="center"/>
          </w:tcPr>
          <w:p w14:paraId="683FCD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357</w:t>
            </w:r>
          </w:p>
        </w:tc>
        <w:tc>
          <w:tcPr>
            <w:tcW w:w="569" w:type="dxa"/>
            <w:tcBorders>
              <w:tl2br w:val="nil"/>
              <w:tr2bl w:val="nil"/>
            </w:tcBorders>
            <w:shd w:val="clear" w:color="auto" w:fill="auto"/>
            <w:vAlign w:val="center"/>
          </w:tcPr>
          <w:p w14:paraId="7458667F">
            <w:pPr>
              <w:adjustRightInd w:val="0"/>
              <w:snapToGrid w:val="0"/>
              <w:spacing w:after="0" w:line="240" w:lineRule="auto"/>
              <w:jc w:val="center"/>
              <w:rPr>
                <w:rFonts w:hint="default" w:ascii="宋体" w:hAnsi="宋体" w:eastAsia="宋体" w:cs="宋体"/>
                <w:b w:val="0"/>
                <w:bCs w:val="0"/>
                <w:color w:val="FF0000"/>
                <w:sz w:val="21"/>
                <w:szCs w:val="21"/>
                <w:highlight w:val="yellow"/>
                <w:lang w:val="en-US"/>
              </w:rPr>
            </w:pPr>
            <w:r>
              <w:rPr>
                <w:rFonts w:hint="eastAsia" w:ascii="宋体" w:hAnsi="宋体" w:eastAsia="宋体" w:cs="宋体"/>
                <w:b w:val="0"/>
                <w:bCs w:val="0"/>
                <w:color w:val="FF0000"/>
                <w:sz w:val="21"/>
                <w:szCs w:val="21"/>
                <w:highlight w:val="yellow"/>
                <w:lang w:val="en-US" w:eastAsia="zh-CN"/>
              </w:rPr>
              <w:t>20</w:t>
            </w:r>
          </w:p>
        </w:tc>
        <w:tc>
          <w:tcPr>
            <w:tcW w:w="504" w:type="dxa"/>
            <w:tcBorders>
              <w:tl2br w:val="nil"/>
              <w:tr2bl w:val="nil"/>
            </w:tcBorders>
            <w:shd w:val="clear" w:color="auto" w:fill="auto"/>
            <w:vAlign w:val="center"/>
          </w:tcPr>
          <w:p w14:paraId="6203DC3C">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16</w:t>
            </w:r>
          </w:p>
        </w:tc>
        <w:tc>
          <w:tcPr>
            <w:tcW w:w="535" w:type="dxa"/>
            <w:tcBorders>
              <w:tl2br w:val="nil"/>
              <w:tr2bl w:val="nil"/>
            </w:tcBorders>
            <w:shd w:val="clear" w:color="auto" w:fill="92D050"/>
            <w:vAlign w:val="center"/>
          </w:tcPr>
          <w:p w14:paraId="326061D4">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35" w:type="dxa"/>
            <w:tcBorders>
              <w:tl2br w:val="nil"/>
              <w:tr2bl w:val="nil"/>
            </w:tcBorders>
            <w:shd w:val="clear" w:color="auto" w:fill="auto"/>
            <w:vAlign w:val="center"/>
          </w:tcPr>
          <w:p w14:paraId="0002EC2C">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01" w:type="dxa"/>
            <w:tcBorders>
              <w:tl2br w:val="nil"/>
              <w:tr2bl w:val="nil"/>
            </w:tcBorders>
            <w:shd w:val="clear" w:color="auto" w:fill="auto"/>
            <w:vAlign w:val="center"/>
          </w:tcPr>
          <w:p w14:paraId="7C6042C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E2A31A1">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FE2FD2B">
            <w:pPr>
              <w:adjustRightInd w:val="0"/>
              <w:snapToGrid w:val="0"/>
              <w:spacing w:after="0" w:line="240" w:lineRule="auto"/>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6538CFD6">
            <w:pPr>
              <w:adjustRightInd w:val="0"/>
              <w:snapToGrid w:val="0"/>
              <w:spacing w:after="0" w:line="240" w:lineRule="auto"/>
              <w:rPr>
                <w:rFonts w:hint="eastAsia" w:ascii="宋体" w:hAnsi="宋体" w:eastAsia="宋体" w:cs="宋体"/>
                <w:b w:val="0"/>
                <w:bCs w:val="0"/>
                <w:sz w:val="21"/>
                <w:szCs w:val="21"/>
                <w:highlight w:val="none"/>
                <w:lang w:val="en-US" w:eastAsia="zh-CN" w:bidi="ar-SA"/>
              </w:rPr>
            </w:pPr>
          </w:p>
        </w:tc>
      </w:tr>
      <w:tr w14:paraId="184AE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restart"/>
            <w:tcBorders>
              <w:left w:val="thinThickSmallGap" w:color="000000" w:sz="12" w:space="0"/>
              <w:tl2br w:val="nil"/>
              <w:tr2bl w:val="nil"/>
            </w:tcBorders>
            <w:vAlign w:val="center"/>
          </w:tcPr>
          <w:p w14:paraId="0CB116F9">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任意选修课程</w:t>
            </w:r>
          </w:p>
        </w:tc>
        <w:tc>
          <w:tcPr>
            <w:tcW w:w="1426" w:type="dxa"/>
            <w:tcBorders>
              <w:tl2br w:val="nil"/>
              <w:tr2bl w:val="nil"/>
            </w:tcBorders>
            <w:vAlign w:val="center"/>
          </w:tcPr>
          <w:p w14:paraId="3CFDD1FE">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传统文化与人文艺术</w:t>
            </w:r>
          </w:p>
        </w:tc>
        <w:tc>
          <w:tcPr>
            <w:tcW w:w="651" w:type="dxa"/>
            <w:tcBorders>
              <w:tl2br w:val="nil"/>
              <w:tr2bl w:val="nil"/>
            </w:tcBorders>
            <w:vAlign w:val="center"/>
          </w:tcPr>
          <w:p w14:paraId="0FE16AE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7DC1BF">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B81655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59708EE2">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B9D4882">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54477702">
            <w:pPr>
              <w:adjustRightInd w:val="0"/>
              <w:snapToGrid w:val="0"/>
              <w:spacing w:after="0" w:line="240" w:lineRule="auto"/>
              <w:jc w:val="left"/>
              <w:rPr>
                <w:rFonts w:ascii="宋体" w:hAnsi="宋体" w:eastAsia="宋体" w:cs="宋体"/>
                <w:b w:val="0"/>
                <w:bCs w:val="0"/>
                <w:color w:val="auto"/>
                <w:sz w:val="21"/>
                <w:szCs w:val="21"/>
                <w:highlight w:val="none"/>
              </w:rPr>
            </w:pPr>
          </w:p>
        </w:tc>
        <w:tc>
          <w:tcPr>
            <w:tcW w:w="2659" w:type="dxa"/>
            <w:gridSpan w:val="5"/>
            <w:vMerge w:val="restart"/>
            <w:tcBorders>
              <w:tl2br w:val="nil"/>
              <w:tr2bl w:val="nil"/>
            </w:tcBorders>
            <w:shd w:val="clear" w:color="auto" w:fill="auto"/>
            <w:vAlign w:val="center"/>
          </w:tcPr>
          <w:p w14:paraId="36E1B30F">
            <w:pPr>
              <w:adjustRightInd w:val="0"/>
              <w:snapToGrid w:val="0"/>
              <w:spacing w:after="0" w:line="240" w:lineRule="auto"/>
              <w:jc w:val="left"/>
              <w:rPr>
                <w:rFonts w:hint="default" w:ascii="宋体" w:hAnsi="宋体" w:eastAsia="宋体" w:cs="宋体"/>
                <w:b w:val="0"/>
                <w:bCs w:val="0"/>
                <w:color w:val="000000" w:themeColor="text1"/>
                <w:sz w:val="21"/>
                <w:szCs w:val="21"/>
                <w:highlight w:val="none"/>
                <w:shd w:val="clear"/>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shd w:val="clear"/>
                <w:lang w:val="en-US" w:eastAsia="zh-CN"/>
                <w14:textFill>
                  <w14:solidFill>
                    <w14:schemeClr w14:val="tx1"/>
                  </w14:solidFill>
                </w14:textFill>
              </w:rPr>
              <w:t>第2、3、4学期线上、线下形式修读（计算学分）</w:t>
            </w:r>
          </w:p>
        </w:tc>
        <w:tc>
          <w:tcPr>
            <w:tcW w:w="469" w:type="dxa"/>
            <w:tcBorders>
              <w:tl2br w:val="nil"/>
              <w:tr2bl w:val="nil"/>
            </w:tcBorders>
            <w:noWrap/>
            <w:vAlign w:val="center"/>
          </w:tcPr>
          <w:p w14:paraId="0E5A45D0">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0CB554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9A0D86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CA703EE">
            <w:pPr>
              <w:adjustRightInd w:val="0"/>
              <w:snapToGrid w:val="0"/>
              <w:spacing w:after="0" w:line="240" w:lineRule="auto"/>
              <w:rPr>
                <w:sz w:val="21"/>
                <w:szCs w:val="21"/>
                <w:highlight w:val="none"/>
              </w:rPr>
            </w:pPr>
          </w:p>
        </w:tc>
        <w:tc>
          <w:tcPr>
            <w:tcW w:w="1426" w:type="dxa"/>
            <w:tcBorders>
              <w:tl2br w:val="nil"/>
              <w:tr2bl w:val="nil"/>
            </w:tcBorders>
            <w:vAlign w:val="center"/>
          </w:tcPr>
          <w:p w14:paraId="03320E57">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中国历史与文化传承</w:t>
            </w:r>
          </w:p>
        </w:tc>
        <w:tc>
          <w:tcPr>
            <w:tcW w:w="651" w:type="dxa"/>
            <w:tcBorders>
              <w:tl2br w:val="nil"/>
              <w:tr2bl w:val="nil"/>
            </w:tcBorders>
            <w:vAlign w:val="center"/>
          </w:tcPr>
          <w:p w14:paraId="6EB9EDE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9DCC9B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26B0B940">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4A2B1F0F">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1176D1A3">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472AD9A2">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C261259">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EE22C6D">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598858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B85F21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8BACB7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97127E0">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兴趣爱好与技能拓展</w:t>
            </w:r>
          </w:p>
        </w:tc>
        <w:tc>
          <w:tcPr>
            <w:tcW w:w="651" w:type="dxa"/>
            <w:tcBorders>
              <w:tl2br w:val="nil"/>
              <w:tr2bl w:val="nil"/>
            </w:tcBorders>
            <w:vAlign w:val="center"/>
          </w:tcPr>
          <w:p w14:paraId="5084C66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08527B5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29A376">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260E6F97">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2AFCFD60">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1DFA93C8">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251E4CFA">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C03757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7E8D18E">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5F8A6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4D45DD2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4E4BB46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形体训练与礼仪展示</w:t>
            </w:r>
          </w:p>
        </w:tc>
        <w:tc>
          <w:tcPr>
            <w:tcW w:w="651" w:type="dxa"/>
            <w:tcBorders>
              <w:tl2br w:val="nil"/>
              <w:tr2bl w:val="nil"/>
            </w:tcBorders>
            <w:vAlign w:val="center"/>
          </w:tcPr>
          <w:p w14:paraId="77020B9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200323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F3AA321">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0AC2F578">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2754DC51">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7C9D8D2F">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3FA2B33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92FD62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3319C22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2496CE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975BCB8">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40014D5">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急救在身边、中医药养生</w:t>
            </w:r>
          </w:p>
        </w:tc>
        <w:tc>
          <w:tcPr>
            <w:tcW w:w="651" w:type="dxa"/>
            <w:tcBorders>
              <w:tl2br w:val="nil"/>
              <w:tr2bl w:val="nil"/>
            </w:tcBorders>
            <w:vAlign w:val="center"/>
          </w:tcPr>
          <w:p w14:paraId="1B7E733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6EFCFEC">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0FBC3BE">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0E59710B">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70F1CED3">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414AF55">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6CB0C714">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41477E8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00E9471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B6CAF4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82BEE49">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C1981F8">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书法艺术欣赏、影视鉴赏</w:t>
            </w:r>
          </w:p>
        </w:tc>
        <w:tc>
          <w:tcPr>
            <w:tcW w:w="651" w:type="dxa"/>
            <w:tcBorders>
              <w:tl2br w:val="nil"/>
              <w:tr2bl w:val="nil"/>
            </w:tcBorders>
            <w:vAlign w:val="center"/>
          </w:tcPr>
          <w:p w14:paraId="3CFC662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C1E3D5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37F467F">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7649E5E4">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40C67A01">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31AF68CF">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E070D18">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31B6F7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8EF925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C2C8E9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ED7CCC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F4CB45B">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节能减排、绿色环保</w:t>
            </w:r>
          </w:p>
        </w:tc>
        <w:tc>
          <w:tcPr>
            <w:tcW w:w="651" w:type="dxa"/>
            <w:tcBorders>
              <w:tl2br w:val="nil"/>
              <w:tr2bl w:val="nil"/>
            </w:tcBorders>
            <w:vAlign w:val="center"/>
          </w:tcPr>
          <w:p w14:paraId="75B4686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3368250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FB4F1AB">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1F99FCDA">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690ED092">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D1DA218">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56CF0BE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5BB82AA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1AF8D7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106E1D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3FE55B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F3BBF1D">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超星、智慧树通识课程</w:t>
            </w:r>
          </w:p>
        </w:tc>
        <w:tc>
          <w:tcPr>
            <w:tcW w:w="651" w:type="dxa"/>
            <w:tcBorders>
              <w:tl2br w:val="nil"/>
              <w:tr2bl w:val="nil"/>
            </w:tcBorders>
            <w:vAlign w:val="center"/>
          </w:tcPr>
          <w:p w14:paraId="33F853F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6426DD8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3AAE924A">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619" w:type="dxa"/>
            <w:tcBorders>
              <w:tl2br w:val="nil"/>
              <w:tr2bl w:val="nil"/>
            </w:tcBorders>
            <w:vAlign w:val="center"/>
          </w:tcPr>
          <w:p w14:paraId="47625043">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602" w:type="dxa"/>
            <w:tcBorders>
              <w:tl2br w:val="nil"/>
              <w:tr2bl w:val="nil"/>
            </w:tcBorders>
            <w:vAlign w:val="center"/>
          </w:tcPr>
          <w:p w14:paraId="14A74DBF">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44A0D4D8">
            <w:pPr>
              <w:adjustRightInd w:val="0"/>
              <w:snapToGrid w:val="0"/>
              <w:spacing w:after="0" w:line="240" w:lineRule="auto"/>
              <w:rPr>
                <w:rFonts w:ascii="宋体" w:hAnsi="宋体" w:eastAsia="宋体" w:cs="宋体"/>
                <w:b w:val="0"/>
                <w:bCs w:val="0"/>
                <w:color w:val="auto"/>
                <w:sz w:val="21"/>
                <w:szCs w:val="21"/>
                <w:highlight w:val="none"/>
                <w:lang w:val="en-US" w:eastAsia="zh-CN" w:bidi="ar-SA"/>
              </w:rPr>
            </w:pPr>
          </w:p>
        </w:tc>
        <w:tc>
          <w:tcPr>
            <w:tcW w:w="2659" w:type="dxa"/>
            <w:gridSpan w:val="5"/>
            <w:vMerge w:val="continue"/>
            <w:tcBorders>
              <w:tl2br w:val="nil"/>
              <w:tr2bl w:val="nil"/>
            </w:tcBorders>
            <w:shd w:val="clear" w:color="auto" w:fill="auto"/>
            <w:vAlign w:val="center"/>
          </w:tcPr>
          <w:p w14:paraId="795A712F">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469" w:type="dxa"/>
            <w:tcBorders>
              <w:tl2br w:val="nil"/>
              <w:tr2bl w:val="nil"/>
            </w:tcBorders>
            <w:noWrap/>
            <w:vAlign w:val="center"/>
          </w:tcPr>
          <w:p w14:paraId="6904E992">
            <w:pPr>
              <w:adjustRightInd w:val="0"/>
              <w:snapToGrid w:val="0"/>
              <w:spacing w:after="0" w:line="240" w:lineRule="auto"/>
              <w:rPr>
                <w:rFonts w:ascii="宋体" w:hAnsi="宋体" w:eastAsia="宋体" w:cs="宋体"/>
                <w:b w:val="0"/>
                <w:bCs w:val="0"/>
                <w:sz w:val="21"/>
                <w:szCs w:val="21"/>
                <w:highlight w:val="none"/>
                <w:lang w:val="en-US" w:eastAsia="zh-CN" w:bidi="ar-SA"/>
              </w:rPr>
            </w:pPr>
          </w:p>
        </w:tc>
        <w:tc>
          <w:tcPr>
            <w:tcW w:w="522" w:type="dxa"/>
            <w:tcBorders>
              <w:right w:val="thinThickSmallGap" w:color="000000" w:sz="12" w:space="0"/>
              <w:tl2br w:val="nil"/>
              <w:tr2bl w:val="nil"/>
            </w:tcBorders>
            <w:noWrap/>
            <w:vAlign w:val="center"/>
          </w:tcPr>
          <w:p w14:paraId="36C12A3D">
            <w:pPr>
              <w:adjustRightInd w:val="0"/>
              <w:snapToGrid w:val="0"/>
              <w:spacing w:after="0" w:line="240" w:lineRule="auto"/>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8E51CC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D896F91">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19007B4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数字素养与人工智能</w:t>
            </w:r>
          </w:p>
        </w:tc>
        <w:tc>
          <w:tcPr>
            <w:tcW w:w="651" w:type="dxa"/>
            <w:tcBorders>
              <w:tl2br w:val="nil"/>
              <w:tr2bl w:val="nil"/>
            </w:tcBorders>
            <w:vAlign w:val="center"/>
          </w:tcPr>
          <w:p w14:paraId="4CFF540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4F7369E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7F4D4760">
            <w:pPr>
              <w:adjustRightInd w:val="0"/>
              <w:snapToGrid w:val="0"/>
              <w:spacing w:after="0" w:line="240" w:lineRule="auto"/>
              <w:rPr>
                <w:rFonts w:ascii="宋体" w:hAnsi="宋体" w:eastAsia="宋体" w:cs="宋体"/>
                <w:b w:val="0"/>
                <w:bCs w:val="0"/>
                <w:sz w:val="21"/>
                <w:szCs w:val="21"/>
                <w:highlight w:val="none"/>
              </w:rPr>
            </w:pPr>
          </w:p>
        </w:tc>
        <w:tc>
          <w:tcPr>
            <w:tcW w:w="619" w:type="dxa"/>
            <w:tcBorders>
              <w:tl2br w:val="nil"/>
              <w:tr2bl w:val="nil"/>
            </w:tcBorders>
            <w:vAlign w:val="center"/>
          </w:tcPr>
          <w:p w14:paraId="69BDEEB9">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52188C5C">
            <w:pPr>
              <w:adjustRightInd w:val="0"/>
              <w:snapToGrid w:val="0"/>
              <w:spacing w:after="0" w:line="240" w:lineRule="auto"/>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0C1F4BD1">
            <w:pPr>
              <w:adjustRightInd w:val="0"/>
              <w:snapToGrid w:val="0"/>
              <w:spacing w:after="0" w:line="240" w:lineRule="auto"/>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B12B8F0">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3487909D">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A77C49A">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2EF12A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55" w:type="dxa"/>
            <w:gridSpan w:val="2"/>
            <w:vMerge w:val="restart"/>
            <w:tcBorders>
              <w:left w:val="thinThickSmallGap" w:color="000000" w:sz="12" w:space="0"/>
              <w:tl2br w:val="nil"/>
              <w:tr2bl w:val="nil"/>
            </w:tcBorders>
            <w:vAlign w:val="center"/>
          </w:tcPr>
          <w:p w14:paraId="03F0EFBA">
            <w:pPr>
              <w:adjustRightInd w:val="0"/>
              <w:snapToGrid w:val="0"/>
              <w:spacing w:after="0" w:line="240" w:lineRule="auto"/>
              <w:jc w:val="center"/>
              <w:rPr>
                <w:rFonts w:hint="eastAsia" w:ascii="宋体" w:hAnsi="宋体" w:eastAsia="宋体" w:cs="宋体"/>
                <w:sz w:val="21"/>
                <w:szCs w:val="21"/>
                <w:highlight w:val="none"/>
              </w:rPr>
            </w:pPr>
          </w:p>
          <w:p w14:paraId="43B9A1D6">
            <w:pPr>
              <w:adjustRightInd w:val="0"/>
              <w:snapToGrid w:val="0"/>
              <w:spacing w:after="0" w:line="240" w:lineRule="auto"/>
              <w:jc w:val="center"/>
              <w:rPr>
                <w:rFonts w:hint="eastAsia" w:ascii="宋体" w:hAnsi="宋体" w:eastAsia="宋体" w:cs="宋体"/>
                <w:sz w:val="21"/>
                <w:szCs w:val="21"/>
                <w:highlight w:val="none"/>
              </w:rPr>
            </w:pPr>
          </w:p>
          <w:p w14:paraId="50EE0F5B">
            <w:pPr>
              <w:adjustRightInd w:val="0"/>
              <w:snapToGrid w:val="0"/>
              <w:spacing w:after="0" w:line="240" w:lineRule="auto"/>
              <w:jc w:val="center"/>
              <w:rPr>
                <w:rFonts w:hint="eastAsia" w:ascii="宋体" w:hAnsi="宋体" w:eastAsia="宋体" w:cs="宋体"/>
                <w:sz w:val="21"/>
                <w:szCs w:val="21"/>
                <w:highlight w:val="none"/>
              </w:rPr>
            </w:pPr>
          </w:p>
          <w:p w14:paraId="782F2CE6">
            <w:pPr>
              <w:adjustRightInd w:val="0"/>
              <w:snapToGrid w:val="0"/>
              <w:spacing w:after="0" w:line="240" w:lineRule="auto"/>
              <w:jc w:val="center"/>
              <w:rPr>
                <w:rFonts w:hint="eastAsia" w:ascii="宋体" w:hAnsi="宋体" w:eastAsia="宋体" w:cs="宋体"/>
                <w:sz w:val="21"/>
                <w:szCs w:val="21"/>
                <w:highlight w:val="none"/>
              </w:rPr>
            </w:pPr>
          </w:p>
          <w:p w14:paraId="1AB74D9A">
            <w:pPr>
              <w:adjustRightInd w:val="0"/>
              <w:snapToGrid w:val="0"/>
              <w:spacing w:after="0" w:line="240" w:lineRule="auto"/>
              <w:jc w:val="center"/>
              <w:rPr>
                <w:rFonts w:hint="eastAsia" w:ascii="宋体" w:hAnsi="宋体" w:eastAsia="宋体" w:cs="宋体"/>
                <w:sz w:val="21"/>
                <w:szCs w:val="21"/>
                <w:highlight w:val="none"/>
              </w:rPr>
            </w:pPr>
          </w:p>
          <w:p w14:paraId="092EDBDB">
            <w:pPr>
              <w:adjustRightInd w:val="0"/>
              <w:snapToGrid w:val="0"/>
              <w:spacing w:after="0" w:line="240" w:lineRule="auto"/>
              <w:jc w:val="center"/>
              <w:rPr>
                <w:rFonts w:hint="eastAsia" w:ascii="宋体" w:hAnsi="宋体" w:eastAsia="宋体" w:cs="宋体"/>
                <w:sz w:val="21"/>
                <w:szCs w:val="21"/>
                <w:highlight w:val="none"/>
              </w:rPr>
            </w:pPr>
          </w:p>
          <w:p w14:paraId="6F487824">
            <w:pPr>
              <w:adjustRightInd w:val="0"/>
              <w:snapToGrid w:val="0"/>
              <w:spacing w:after="0" w:line="240" w:lineRule="auto"/>
              <w:jc w:val="center"/>
              <w:rPr>
                <w:rFonts w:hint="eastAsia" w:ascii="宋体" w:hAnsi="宋体" w:eastAsia="宋体" w:cs="宋体"/>
                <w:sz w:val="21"/>
                <w:szCs w:val="21"/>
                <w:highlight w:val="none"/>
              </w:rPr>
            </w:pPr>
          </w:p>
          <w:p w14:paraId="3C27E7DA">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技术</w:t>
            </w:r>
            <w:r>
              <w:rPr>
                <w:rFonts w:hint="eastAsia" w:ascii="宋体" w:hAnsi="宋体" w:eastAsia="宋体" w:cs="宋体"/>
                <w:sz w:val="21"/>
                <w:szCs w:val="21"/>
                <w:highlight w:val="none"/>
              </w:rPr>
              <w:t>课程</w:t>
            </w:r>
          </w:p>
        </w:tc>
        <w:tc>
          <w:tcPr>
            <w:tcW w:w="404" w:type="dxa"/>
            <w:vMerge w:val="restart"/>
            <w:tcBorders>
              <w:tl2br w:val="nil"/>
              <w:tr2bl w:val="nil"/>
            </w:tcBorders>
            <w:vAlign w:val="center"/>
          </w:tcPr>
          <w:p w14:paraId="65B726E7">
            <w:pPr>
              <w:adjustRightInd w:val="0"/>
              <w:snapToGrid w:val="0"/>
              <w:spacing w:after="0" w:line="240" w:lineRule="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专业基础</w:t>
            </w:r>
            <w:r>
              <w:rPr>
                <w:rFonts w:hint="eastAsia" w:ascii="宋体" w:hAnsi="宋体" w:eastAsia="宋体" w:cs="宋体"/>
                <w:sz w:val="21"/>
                <w:szCs w:val="21"/>
                <w:highlight w:val="none"/>
                <w:lang w:val="en-US" w:eastAsia="zh-CN"/>
              </w:rPr>
              <w:t>课程</w:t>
            </w:r>
          </w:p>
        </w:tc>
        <w:tc>
          <w:tcPr>
            <w:tcW w:w="1426" w:type="dxa"/>
            <w:tcBorders>
              <w:tl2br w:val="nil"/>
              <w:tr2bl w:val="nil"/>
            </w:tcBorders>
            <w:vAlign w:val="center"/>
          </w:tcPr>
          <w:p w14:paraId="5D9EEB2B">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物业管理概论</w:t>
            </w:r>
          </w:p>
        </w:tc>
        <w:tc>
          <w:tcPr>
            <w:tcW w:w="651" w:type="dxa"/>
            <w:tcBorders>
              <w:tl2br w:val="nil"/>
              <w:tr2bl w:val="nil"/>
            </w:tcBorders>
            <w:vAlign w:val="center"/>
          </w:tcPr>
          <w:p w14:paraId="0430C99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28D866A">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60D168B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4EF4B70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375F3CB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40C9D94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vAlign w:val="center"/>
          </w:tcPr>
          <w:p w14:paraId="3C9E2FBA">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58306FA">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78CC3078">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48ADD4F8">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32E4C30A">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5A1ACC9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EAA8269">
            <w:pPr>
              <w:adjustRightInd w:val="0"/>
              <w:snapToGrid w:val="0"/>
              <w:spacing w:after="0" w:line="240" w:lineRule="auto"/>
              <w:rPr>
                <w:rFonts w:ascii="宋体" w:hAnsi="宋体" w:eastAsia="宋体" w:cs="宋体"/>
                <w:b w:val="0"/>
                <w:bCs w:val="0"/>
                <w:sz w:val="21"/>
                <w:szCs w:val="21"/>
                <w:highlight w:val="none"/>
              </w:rPr>
            </w:pPr>
          </w:p>
        </w:tc>
      </w:tr>
      <w:tr w14:paraId="33C2B5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355" w:type="dxa"/>
            <w:gridSpan w:val="2"/>
            <w:vMerge w:val="continue"/>
            <w:tcBorders>
              <w:left w:val="thinThickSmallGap" w:color="000000" w:sz="12" w:space="0"/>
              <w:tl2br w:val="nil"/>
              <w:tr2bl w:val="nil"/>
            </w:tcBorders>
            <w:vAlign w:val="center"/>
          </w:tcPr>
          <w:p w14:paraId="1F9277A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4A4C5E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4ADF5D8">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民法学基础</w:t>
            </w:r>
          </w:p>
        </w:tc>
        <w:tc>
          <w:tcPr>
            <w:tcW w:w="651" w:type="dxa"/>
            <w:tcBorders>
              <w:tl2br w:val="nil"/>
              <w:tr2bl w:val="nil"/>
            </w:tcBorders>
            <w:vAlign w:val="center"/>
          </w:tcPr>
          <w:p w14:paraId="47B5E15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2D5F2B6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098647E5">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60EDBFE2">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13CFE64E">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62E0C646">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noWrap/>
            <w:vAlign w:val="center"/>
          </w:tcPr>
          <w:p w14:paraId="35F5D2EB">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6DC09751">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5A55507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344DA7E2">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4E047F39">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4312EB4E">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9EB7DC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DCEEE8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355" w:type="dxa"/>
            <w:gridSpan w:val="2"/>
            <w:vMerge w:val="continue"/>
            <w:tcBorders>
              <w:left w:val="thinThickSmallGap" w:color="000000" w:sz="12" w:space="0"/>
              <w:tl2br w:val="nil"/>
              <w:tr2bl w:val="nil"/>
            </w:tcBorders>
            <w:vAlign w:val="center"/>
          </w:tcPr>
          <w:p w14:paraId="5909DEE7">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786BB93B">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581A6EA2">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经济学基础</w:t>
            </w:r>
          </w:p>
        </w:tc>
        <w:tc>
          <w:tcPr>
            <w:tcW w:w="651" w:type="dxa"/>
            <w:tcBorders>
              <w:tl2br w:val="nil"/>
              <w:tr2bl w:val="nil"/>
            </w:tcBorders>
            <w:vAlign w:val="center"/>
          </w:tcPr>
          <w:p w14:paraId="5C85B9ED">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5BCD8213">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6CEAE84F">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6220FBCC">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3A282E7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7E2B6E7E">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66B256B4">
            <w:pPr>
              <w:adjustRightInd w:val="0"/>
              <w:snapToGrid w:val="0"/>
              <w:spacing w:after="0" w:line="240" w:lineRule="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0F4F9B1D">
            <w:pPr>
              <w:adjustRightInd w:val="0"/>
              <w:snapToGrid w:val="0"/>
              <w:spacing w:after="0" w:line="240" w:lineRule="auto"/>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vAlign w:val="center"/>
          </w:tcPr>
          <w:p w14:paraId="2A7D264E">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60AE5360">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1526DA88">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3F4679D2">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4658F24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E0B4FD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355" w:type="dxa"/>
            <w:gridSpan w:val="2"/>
            <w:vMerge w:val="continue"/>
            <w:tcBorders>
              <w:left w:val="thinThickSmallGap" w:color="000000" w:sz="12" w:space="0"/>
              <w:tl2br w:val="nil"/>
              <w:tr2bl w:val="nil"/>
            </w:tcBorders>
            <w:vAlign w:val="center"/>
          </w:tcPr>
          <w:p w14:paraId="5DDC644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867C5F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C4433B6">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管理学基础</w:t>
            </w:r>
          </w:p>
        </w:tc>
        <w:tc>
          <w:tcPr>
            <w:tcW w:w="651" w:type="dxa"/>
            <w:tcBorders>
              <w:tl2br w:val="nil"/>
              <w:tr2bl w:val="nil"/>
            </w:tcBorders>
            <w:vAlign w:val="center"/>
          </w:tcPr>
          <w:p w14:paraId="3C70CF42">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49A012BA">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A22711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D4C0F7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24316AFA">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0ED5FF12">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515213D">
            <w:pPr>
              <w:adjustRightInd w:val="0"/>
              <w:snapToGrid w:val="0"/>
              <w:spacing w:after="0" w:line="240" w:lineRule="auto"/>
              <w:rPr>
                <w:rFonts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4</w:t>
            </w:r>
          </w:p>
        </w:tc>
        <w:tc>
          <w:tcPr>
            <w:tcW w:w="535" w:type="dxa"/>
            <w:tcBorders>
              <w:tl2br w:val="nil"/>
              <w:tr2bl w:val="nil"/>
            </w:tcBorders>
            <w:shd w:val="clear" w:color="auto" w:fill="92D050"/>
            <w:noWrap/>
            <w:vAlign w:val="center"/>
          </w:tcPr>
          <w:p w14:paraId="33241676">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060C21E3">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1007AE1B">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1981715F">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45A614D9">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83A9D7D">
            <w:pPr>
              <w:adjustRightInd w:val="0"/>
              <w:snapToGrid w:val="0"/>
              <w:spacing w:after="0" w:line="240" w:lineRule="auto"/>
              <w:rPr>
                <w:rFonts w:ascii="宋体" w:hAnsi="宋体" w:eastAsia="宋体" w:cs="宋体"/>
                <w:b w:val="0"/>
                <w:bCs w:val="0"/>
                <w:sz w:val="21"/>
                <w:szCs w:val="21"/>
                <w:highlight w:val="none"/>
              </w:rPr>
            </w:pPr>
          </w:p>
        </w:tc>
      </w:tr>
      <w:tr w14:paraId="4767B4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355" w:type="dxa"/>
            <w:gridSpan w:val="2"/>
            <w:vMerge w:val="continue"/>
            <w:tcBorders>
              <w:left w:val="thinThickSmallGap" w:color="000000" w:sz="12" w:space="0"/>
              <w:tl2br w:val="nil"/>
              <w:tr2bl w:val="nil"/>
            </w:tcBorders>
            <w:vAlign w:val="center"/>
          </w:tcPr>
          <w:p w14:paraId="2F32090F">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CCA6925">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FAA5C7D">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客户</w:t>
            </w:r>
          </w:p>
        </w:tc>
        <w:tc>
          <w:tcPr>
            <w:tcW w:w="651" w:type="dxa"/>
            <w:tcBorders>
              <w:tl2br w:val="nil"/>
              <w:tr2bl w:val="nil"/>
            </w:tcBorders>
            <w:vAlign w:val="center"/>
          </w:tcPr>
          <w:p w14:paraId="7BE8015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819CB7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15B2C675">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4874FAC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31DB5BD6">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2CB177FF">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46AED4CC">
            <w:pPr>
              <w:adjustRightInd w:val="0"/>
              <w:snapToGrid w:val="0"/>
              <w:spacing w:after="0" w:line="240" w:lineRule="auto"/>
              <w:rPr>
                <w:rFonts w:hint="eastAsia" w:ascii="宋体" w:hAnsi="宋体" w:eastAsia="宋体" w:cs="宋体"/>
                <w:b w:val="0"/>
                <w:bCs w:val="0"/>
                <w:color w:val="auto"/>
                <w:sz w:val="21"/>
                <w:szCs w:val="21"/>
                <w:highlight w:val="none"/>
                <w:lang w:eastAsia="zh-CN"/>
              </w:rPr>
            </w:pPr>
          </w:p>
        </w:tc>
        <w:tc>
          <w:tcPr>
            <w:tcW w:w="535" w:type="dxa"/>
            <w:tcBorders>
              <w:tl2br w:val="nil"/>
              <w:tr2bl w:val="nil"/>
            </w:tcBorders>
            <w:shd w:val="clear" w:color="auto" w:fill="92D050"/>
            <w:noWrap/>
            <w:vAlign w:val="center"/>
          </w:tcPr>
          <w:p w14:paraId="51C9FD5E">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4</w:t>
            </w:r>
          </w:p>
        </w:tc>
        <w:tc>
          <w:tcPr>
            <w:tcW w:w="535" w:type="dxa"/>
            <w:tcBorders>
              <w:tl2br w:val="nil"/>
              <w:tr2bl w:val="nil"/>
            </w:tcBorders>
            <w:vAlign w:val="center"/>
          </w:tcPr>
          <w:p w14:paraId="481A743B">
            <w:pPr>
              <w:adjustRightInd w:val="0"/>
              <w:snapToGrid w:val="0"/>
              <w:spacing w:after="0" w:line="240" w:lineRule="auto"/>
              <w:rPr>
                <w:rFonts w:hint="eastAsia" w:ascii="宋体" w:hAnsi="宋体" w:eastAsia="宋体" w:cs="宋体"/>
                <w:b w:val="0"/>
                <w:bCs w:val="0"/>
                <w:sz w:val="21"/>
                <w:szCs w:val="21"/>
                <w:highlight w:val="none"/>
                <w:lang w:val="en-US" w:eastAsia="zh-CN"/>
              </w:rPr>
            </w:pPr>
          </w:p>
        </w:tc>
        <w:tc>
          <w:tcPr>
            <w:tcW w:w="501" w:type="dxa"/>
            <w:tcBorders>
              <w:tl2br w:val="nil"/>
              <w:tr2bl w:val="nil"/>
            </w:tcBorders>
            <w:vAlign w:val="center"/>
          </w:tcPr>
          <w:p w14:paraId="1F399561">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719483F4">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06006AB0">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2FE1EA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F9A33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355" w:type="dxa"/>
            <w:gridSpan w:val="2"/>
            <w:vMerge w:val="continue"/>
            <w:tcBorders>
              <w:left w:val="thinThickSmallGap" w:color="000000" w:sz="12" w:space="0"/>
              <w:tl2br w:val="nil"/>
              <w:tr2bl w:val="nil"/>
            </w:tcBorders>
            <w:vAlign w:val="center"/>
          </w:tcPr>
          <w:p w14:paraId="27C0F399">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658A9B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F51AED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物业管理实务</w:t>
            </w:r>
          </w:p>
        </w:tc>
        <w:tc>
          <w:tcPr>
            <w:tcW w:w="651" w:type="dxa"/>
            <w:tcBorders>
              <w:tl2br w:val="nil"/>
              <w:tr2bl w:val="nil"/>
            </w:tcBorders>
            <w:vAlign w:val="center"/>
          </w:tcPr>
          <w:p w14:paraId="733C07D6">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51FB357">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4CD90820">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493F493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4A8109C9">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539AAA50">
            <w:pPr>
              <w:adjustRightInd w:val="0"/>
              <w:snapToGrid w:val="0"/>
              <w:spacing w:after="0" w:line="240" w:lineRule="auto"/>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4873963E">
            <w:pPr>
              <w:adjustRightInd w:val="0"/>
              <w:snapToGrid w:val="0"/>
              <w:spacing w:after="0" w:line="240" w:lineRule="auto"/>
              <w:rPr>
                <w:rFonts w:hint="eastAsia" w:ascii="宋体" w:hAnsi="宋体" w:eastAsia="宋体" w:cs="宋体"/>
                <w:b/>
                <w:bCs/>
                <w:color w:val="auto"/>
                <w:sz w:val="15"/>
                <w:szCs w:val="15"/>
                <w:highlight w:val="none"/>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7EC1C786">
            <w:pPr>
              <w:adjustRightInd w:val="0"/>
              <w:snapToGrid w:val="0"/>
              <w:spacing w:after="0" w:line="240" w:lineRule="auto"/>
              <w:rPr>
                <w:rFonts w:hint="eastAsia" w:ascii="宋体" w:hAnsi="宋体" w:eastAsia="宋体" w:cs="宋体"/>
                <w:b/>
                <w:bCs/>
                <w:color w:val="000000" w:themeColor="text1"/>
                <w:sz w:val="15"/>
                <w:szCs w:val="15"/>
                <w:highlight w:val="none"/>
                <w:lang w:val="en-US" w:eastAsia="zh-CN"/>
                <w14:textFill>
                  <w14:solidFill>
                    <w14:schemeClr w14:val="tx1"/>
                  </w14:solidFill>
                </w14:textFill>
              </w:rPr>
            </w:pPr>
          </w:p>
        </w:tc>
        <w:tc>
          <w:tcPr>
            <w:tcW w:w="535" w:type="dxa"/>
            <w:tcBorders>
              <w:tl2br w:val="nil"/>
              <w:tr2bl w:val="nil"/>
            </w:tcBorders>
            <w:vAlign w:val="center"/>
          </w:tcPr>
          <w:p w14:paraId="116DEFCA">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0E360B2C">
            <w:pPr>
              <w:adjustRightInd w:val="0"/>
              <w:snapToGrid w:val="0"/>
              <w:spacing w:after="0" w:line="240" w:lineRule="auto"/>
              <w:rPr>
                <w:rFonts w:ascii="宋体" w:hAnsi="宋体" w:eastAsia="宋体" w:cs="宋体"/>
                <w:sz w:val="21"/>
                <w:szCs w:val="21"/>
                <w:highlight w:val="none"/>
              </w:rPr>
            </w:pPr>
          </w:p>
        </w:tc>
        <w:tc>
          <w:tcPr>
            <w:tcW w:w="584" w:type="dxa"/>
            <w:tcBorders>
              <w:tl2br w:val="nil"/>
              <w:tr2bl w:val="nil"/>
            </w:tcBorders>
            <w:vAlign w:val="center"/>
          </w:tcPr>
          <w:p w14:paraId="4A652AC1">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23EC7689">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139AEA9A">
            <w:pPr>
              <w:adjustRightInd w:val="0"/>
              <w:snapToGrid w:val="0"/>
              <w:spacing w:after="0" w:line="240" w:lineRule="auto"/>
              <w:rPr>
                <w:rFonts w:ascii="宋体" w:hAnsi="宋体" w:eastAsia="宋体" w:cs="宋体"/>
                <w:sz w:val="21"/>
                <w:szCs w:val="21"/>
                <w:highlight w:val="none"/>
              </w:rPr>
            </w:pPr>
          </w:p>
        </w:tc>
      </w:tr>
      <w:tr w14:paraId="303BFFF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355" w:type="dxa"/>
            <w:gridSpan w:val="2"/>
            <w:vMerge w:val="continue"/>
            <w:tcBorders>
              <w:left w:val="thinThickSmallGap" w:color="000000" w:sz="12" w:space="0"/>
              <w:tl2br w:val="nil"/>
              <w:tr2bl w:val="nil"/>
            </w:tcBorders>
            <w:vAlign w:val="center"/>
          </w:tcPr>
          <w:p w14:paraId="42F2762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9DC67FC">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7E45F515">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物业服务标准化</w:t>
            </w:r>
          </w:p>
        </w:tc>
        <w:tc>
          <w:tcPr>
            <w:tcW w:w="651" w:type="dxa"/>
            <w:tcBorders>
              <w:tl2br w:val="nil"/>
              <w:tr2bl w:val="nil"/>
            </w:tcBorders>
            <w:vAlign w:val="center"/>
          </w:tcPr>
          <w:p w14:paraId="027786A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285168D">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41EA205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04C2F72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40FCCE3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7091D0D7">
            <w:pPr>
              <w:adjustRightInd w:val="0"/>
              <w:snapToGrid w:val="0"/>
              <w:spacing w:after="0" w:line="240" w:lineRule="auto"/>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16F17495">
            <w:pPr>
              <w:adjustRightInd w:val="0"/>
              <w:snapToGrid w:val="0"/>
              <w:spacing w:after="0" w:line="240" w:lineRule="auto"/>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5ADDE88E">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4</w:t>
            </w:r>
          </w:p>
        </w:tc>
        <w:tc>
          <w:tcPr>
            <w:tcW w:w="535" w:type="dxa"/>
            <w:tcBorders>
              <w:tl2br w:val="nil"/>
              <w:tr2bl w:val="nil"/>
            </w:tcBorders>
            <w:vAlign w:val="center"/>
          </w:tcPr>
          <w:p w14:paraId="158A7078">
            <w:pPr>
              <w:adjustRightInd w:val="0"/>
              <w:snapToGrid w:val="0"/>
              <w:spacing w:after="0" w:line="240" w:lineRule="auto"/>
              <w:rPr>
                <w:rFonts w:hint="eastAsia" w:ascii="宋体" w:hAnsi="宋体" w:eastAsia="宋体" w:cs="宋体"/>
                <w:b/>
                <w:bCs/>
                <w:sz w:val="15"/>
                <w:szCs w:val="15"/>
                <w:highlight w:val="none"/>
                <w:lang w:val="en-US" w:eastAsia="zh-CN"/>
              </w:rPr>
            </w:pPr>
          </w:p>
        </w:tc>
        <w:tc>
          <w:tcPr>
            <w:tcW w:w="501" w:type="dxa"/>
            <w:tcBorders>
              <w:tl2br w:val="nil"/>
              <w:tr2bl w:val="nil"/>
            </w:tcBorders>
            <w:vAlign w:val="center"/>
          </w:tcPr>
          <w:p w14:paraId="3C79DC9D">
            <w:pPr>
              <w:adjustRightInd w:val="0"/>
              <w:snapToGrid w:val="0"/>
              <w:spacing w:after="0" w:line="240" w:lineRule="auto"/>
              <w:rPr>
                <w:rFonts w:ascii="宋体" w:hAnsi="宋体" w:eastAsia="宋体" w:cs="宋体"/>
                <w:sz w:val="21"/>
                <w:szCs w:val="21"/>
                <w:highlight w:val="none"/>
              </w:rPr>
            </w:pPr>
          </w:p>
        </w:tc>
        <w:tc>
          <w:tcPr>
            <w:tcW w:w="584" w:type="dxa"/>
            <w:tcBorders>
              <w:tl2br w:val="nil"/>
              <w:tr2bl w:val="nil"/>
            </w:tcBorders>
            <w:vAlign w:val="center"/>
          </w:tcPr>
          <w:p w14:paraId="370FCBC2">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3BBACF97">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70F59012">
            <w:pPr>
              <w:adjustRightInd w:val="0"/>
              <w:snapToGrid w:val="0"/>
              <w:spacing w:after="0" w:line="240" w:lineRule="auto"/>
              <w:rPr>
                <w:rFonts w:ascii="宋体" w:hAnsi="宋体" w:eastAsia="宋体" w:cs="宋体"/>
                <w:sz w:val="21"/>
                <w:szCs w:val="21"/>
                <w:highlight w:val="none"/>
              </w:rPr>
            </w:pPr>
          </w:p>
        </w:tc>
      </w:tr>
      <w:tr w14:paraId="40763F7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55" w:type="dxa"/>
            <w:gridSpan w:val="2"/>
            <w:vMerge w:val="continue"/>
            <w:tcBorders>
              <w:left w:val="thinThickSmallGap" w:color="000000" w:sz="12" w:space="0"/>
              <w:tl2br w:val="nil"/>
              <w:tr2bl w:val="nil"/>
            </w:tcBorders>
            <w:vAlign w:val="center"/>
          </w:tcPr>
          <w:p w14:paraId="75FDA59B">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5FE6142E">
            <w:pPr>
              <w:adjustRightInd w:val="0"/>
              <w:snapToGrid w:val="0"/>
              <w:spacing w:after="0" w:line="240" w:lineRule="auto"/>
              <w:jc w:val="center"/>
              <w:rPr>
                <w:rFonts w:hint="eastAsia" w:ascii="宋体" w:hAnsi="宋体" w:eastAsia="宋体" w:cs="宋体"/>
                <w:sz w:val="21"/>
                <w:szCs w:val="21"/>
                <w:highlight w:val="none"/>
              </w:rPr>
            </w:pPr>
          </w:p>
          <w:p w14:paraId="6832B4B0">
            <w:pPr>
              <w:adjustRightInd w:val="0"/>
              <w:snapToGrid w:val="0"/>
              <w:spacing w:after="0" w:line="240" w:lineRule="auto"/>
              <w:jc w:val="center"/>
              <w:rPr>
                <w:rFonts w:hint="eastAsia" w:ascii="宋体" w:hAnsi="宋体" w:eastAsia="宋体" w:cs="宋体"/>
                <w:sz w:val="21"/>
                <w:szCs w:val="21"/>
                <w:highlight w:val="none"/>
              </w:rPr>
            </w:pPr>
          </w:p>
          <w:p w14:paraId="4CB59AB8">
            <w:pPr>
              <w:adjustRightInd w:val="0"/>
              <w:snapToGrid w:val="0"/>
              <w:spacing w:after="0" w:line="240" w:lineRule="auto"/>
              <w:jc w:val="center"/>
              <w:rPr>
                <w:rFonts w:hint="eastAsia" w:ascii="宋体" w:hAnsi="宋体" w:eastAsia="宋体" w:cs="宋体"/>
                <w:sz w:val="21"/>
                <w:szCs w:val="21"/>
                <w:highlight w:val="none"/>
              </w:rPr>
            </w:pPr>
          </w:p>
          <w:p w14:paraId="229B2B49">
            <w:pPr>
              <w:adjustRightInd w:val="0"/>
              <w:snapToGrid w:val="0"/>
              <w:spacing w:after="0" w:line="240" w:lineRule="auto"/>
              <w:jc w:val="both"/>
              <w:rPr>
                <w:rFonts w:hint="eastAsia" w:ascii="宋体" w:hAnsi="宋体" w:eastAsia="宋体" w:cs="宋体"/>
                <w:sz w:val="21"/>
                <w:szCs w:val="21"/>
                <w:highlight w:val="none"/>
              </w:rPr>
            </w:pPr>
          </w:p>
          <w:p w14:paraId="3D02F309">
            <w:pPr>
              <w:adjustRightInd w:val="0"/>
              <w:snapToGrid w:val="0"/>
              <w:spacing w:after="0" w:line="240" w:lineRule="auto"/>
              <w:jc w:val="center"/>
              <w:rPr>
                <w:rFonts w:hint="eastAsia" w:ascii="宋体" w:hAnsi="宋体" w:eastAsia="宋体" w:cs="宋体"/>
                <w:sz w:val="21"/>
                <w:szCs w:val="21"/>
                <w:highlight w:val="none"/>
              </w:rPr>
            </w:pPr>
          </w:p>
          <w:p w14:paraId="1DA74677">
            <w:pPr>
              <w:adjustRightInd w:val="0"/>
              <w:snapToGrid w:val="0"/>
              <w:spacing w:after="0" w:line="240" w:lineRule="auto"/>
              <w:jc w:val="center"/>
              <w:rPr>
                <w:rFonts w:hint="eastAsia" w:ascii="宋体" w:hAnsi="宋体" w:eastAsia="宋体" w:cs="宋体"/>
                <w:sz w:val="21"/>
                <w:szCs w:val="21"/>
                <w:highlight w:val="none"/>
              </w:rPr>
            </w:pPr>
          </w:p>
          <w:p w14:paraId="38E36D98">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专业核心课程</w:t>
            </w:r>
          </w:p>
        </w:tc>
        <w:tc>
          <w:tcPr>
            <w:tcW w:w="1426" w:type="dxa"/>
            <w:tcBorders>
              <w:tl2br w:val="nil"/>
              <w:tr2bl w:val="nil"/>
            </w:tcBorders>
            <w:vAlign w:val="center"/>
          </w:tcPr>
          <w:p w14:paraId="7D9A0755">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物业管理法律法规</w:t>
            </w:r>
          </w:p>
        </w:tc>
        <w:tc>
          <w:tcPr>
            <w:tcW w:w="651" w:type="dxa"/>
            <w:tcBorders>
              <w:tl2br w:val="nil"/>
              <w:tr2bl w:val="nil"/>
            </w:tcBorders>
            <w:vAlign w:val="center"/>
          </w:tcPr>
          <w:p w14:paraId="3803E6B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785861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9733868">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79440ADC">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1BA407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08534C2B">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9511DED">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272F2B36">
            <w:pPr>
              <w:adjustRightInd w:val="0"/>
              <w:snapToGrid w:val="0"/>
              <w:spacing w:after="0" w:line="240" w:lineRule="auto"/>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4</w:t>
            </w:r>
          </w:p>
        </w:tc>
        <w:tc>
          <w:tcPr>
            <w:tcW w:w="535" w:type="dxa"/>
            <w:tcBorders>
              <w:tl2br w:val="nil"/>
              <w:tr2bl w:val="nil"/>
            </w:tcBorders>
            <w:noWrap/>
            <w:vAlign w:val="center"/>
          </w:tcPr>
          <w:p w14:paraId="4253ADCF">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0453D0D2">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064FFC6C">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vAlign w:val="center"/>
          </w:tcPr>
          <w:p w14:paraId="7F08730C">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E79052A">
            <w:pPr>
              <w:adjustRightInd w:val="0"/>
              <w:snapToGrid w:val="0"/>
              <w:spacing w:after="0" w:line="240" w:lineRule="auto"/>
              <w:rPr>
                <w:rFonts w:ascii="宋体" w:hAnsi="宋体" w:eastAsia="宋体" w:cs="宋体"/>
                <w:b w:val="0"/>
                <w:bCs w:val="0"/>
                <w:sz w:val="21"/>
                <w:szCs w:val="21"/>
                <w:highlight w:val="none"/>
              </w:rPr>
            </w:pPr>
          </w:p>
        </w:tc>
      </w:tr>
      <w:tr w14:paraId="1CD6AFA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355" w:type="dxa"/>
            <w:gridSpan w:val="2"/>
            <w:vMerge w:val="continue"/>
            <w:tcBorders>
              <w:left w:val="thinThickSmallGap" w:color="000000" w:sz="12" w:space="0"/>
              <w:tl2br w:val="nil"/>
              <w:tr2bl w:val="nil"/>
            </w:tcBorders>
            <w:vAlign w:val="center"/>
          </w:tcPr>
          <w:p w14:paraId="16FBCDE9">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6E2FB29">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6080FB6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物业设施设备管理</w:t>
            </w:r>
          </w:p>
        </w:tc>
        <w:tc>
          <w:tcPr>
            <w:tcW w:w="651" w:type="dxa"/>
            <w:tcBorders>
              <w:tl2br w:val="nil"/>
              <w:tr2bl w:val="nil"/>
            </w:tcBorders>
            <w:vAlign w:val="center"/>
          </w:tcPr>
          <w:p w14:paraId="298AE832">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04CAC61B">
            <w:pPr>
              <w:adjustRightInd w:val="0"/>
              <w:snapToGrid w:val="0"/>
              <w:spacing w:after="0" w:line="240" w:lineRule="auto"/>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6991DE2">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5F2F0F8A">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1B7689A9">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1C24E70F">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46D7A132">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579AB71C">
            <w:pPr>
              <w:adjustRightInd w:val="0"/>
              <w:snapToGrid w:val="0"/>
              <w:spacing w:after="0" w:line="240" w:lineRule="auto"/>
              <w:rPr>
                <w:rFonts w:hint="eastAsia" w:ascii="宋体" w:hAnsi="宋体" w:eastAsia="宋体" w:cs="宋体"/>
                <w:b/>
                <w:bCs/>
                <w:color w:val="000000" w:themeColor="text1"/>
                <w:sz w:val="15"/>
                <w:szCs w:val="15"/>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4</w:t>
            </w:r>
          </w:p>
        </w:tc>
        <w:tc>
          <w:tcPr>
            <w:tcW w:w="535" w:type="dxa"/>
            <w:tcBorders>
              <w:tl2br w:val="nil"/>
              <w:tr2bl w:val="nil"/>
            </w:tcBorders>
            <w:noWrap/>
            <w:vAlign w:val="center"/>
          </w:tcPr>
          <w:p w14:paraId="1DA7D9E8">
            <w:pPr>
              <w:adjustRightInd w:val="0"/>
              <w:snapToGrid w:val="0"/>
              <w:spacing w:after="0" w:line="240" w:lineRule="auto"/>
              <w:rPr>
                <w:rFonts w:hint="eastAsia" w:ascii="宋体" w:hAnsi="宋体" w:eastAsia="宋体" w:cs="宋体"/>
                <w:b/>
                <w:bCs/>
                <w:sz w:val="15"/>
                <w:szCs w:val="15"/>
                <w:highlight w:val="none"/>
              </w:rPr>
            </w:pPr>
          </w:p>
        </w:tc>
        <w:tc>
          <w:tcPr>
            <w:tcW w:w="501" w:type="dxa"/>
            <w:tcBorders>
              <w:tl2br w:val="nil"/>
              <w:tr2bl w:val="nil"/>
            </w:tcBorders>
            <w:vAlign w:val="center"/>
          </w:tcPr>
          <w:p w14:paraId="6AD9E07E">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6BE1462F">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24CA1C9D">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590A5871">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56CF110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55" w:type="dxa"/>
            <w:gridSpan w:val="2"/>
            <w:vMerge w:val="continue"/>
            <w:tcBorders>
              <w:left w:val="thinThickSmallGap" w:color="000000" w:sz="12" w:space="0"/>
              <w:tl2br w:val="nil"/>
              <w:tr2bl w:val="nil"/>
            </w:tcBorders>
            <w:vAlign w:val="center"/>
          </w:tcPr>
          <w:p w14:paraId="548C739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4483BD1">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20D1A09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物业环境管理</w:t>
            </w:r>
          </w:p>
        </w:tc>
        <w:tc>
          <w:tcPr>
            <w:tcW w:w="651" w:type="dxa"/>
            <w:tcBorders>
              <w:tl2br w:val="nil"/>
              <w:tr2bl w:val="nil"/>
            </w:tcBorders>
            <w:vAlign w:val="center"/>
          </w:tcPr>
          <w:p w14:paraId="28AE574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64F1564A">
            <w:pPr>
              <w:adjustRightInd w:val="0"/>
              <w:snapToGrid w:val="0"/>
              <w:spacing w:after="0" w:line="240" w:lineRule="auto"/>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1F4A800C">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6EB07291">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37497B7D">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64B04F59">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3090649E">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33BFCA36">
            <w:pPr>
              <w:adjustRightInd w:val="0"/>
              <w:snapToGrid w:val="0"/>
              <w:spacing w:after="0" w:line="240" w:lineRule="auto"/>
              <w:rPr>
                <w:rFonts w:hint="eastAsia"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15BCB7B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b w:val="0"/>
                <w:bCs w:val="0"/>
                <w:color w:val="auto"/>
                <w:sz w:val="21"/>
                <w:szCs w:val="21"/>
                <w:highlight w:val="none"/>
              </w:rPr>
              <w:t>4</w:t>
            </w:r>
          </w:p>
        </w:tc>
        <w:tc>
          <w:tcPr>
            <w:tcW w:w="501" w:type="dxa"/>
            <w:tcBorders>
              <w:tl2br w:val="nil"/>
              <w:tr2bl w:val="nil"/>
            </w:tcBorders>
            <w:vAlign w:val="center"/>
          </w:tcPr>
          <w:p w14:paraId="75385EFB">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5FC3BF90">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5225431E">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799AEBF">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5053F27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355" w:type="dxa"/>
            <w:gridSpan w:val="2"/>
            <w:vMerge w:val="continue"/>
            <w:tcBorders>
              <w:left w:val="thinThickSmallGap" w:color="000000" w:sz="12" w:space="0"/>
              <w:tl2br w:val="nil"/>
              <w:tr2bl w:val="nil"/>
            </w:tcBorders>
            <w:vAlign w:val="center"/>
          </w:tcPr>
          <w:p w14:paraId="630E9363">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02400086">
            <w:pPr>
              <w:adjustRightInd w:val="0"/>
              <w:snapToGrid w:val="0"/>
              <w:spacing w:after="0" w:line="240" w:lineRule="auto"/>
              <w:rPr>
                <w:rFonts w:hint="eastAsia" w:ascii="宋体" w:hAnsi="宋体" w:eastAsia="宋体" w:cs="宋体"/>
                <w:sz w:val="21"/>
                <w:szCs w:val="21"/>
                <w:highlight w:val="none"/>
              </w:rPr>
            </w:pPr>
          </w:p>
        </w:tc>
        <w:tc>
          <w:tcPr>
            <w:tcW w:w="1426" w:type="dxa"/>
            <w:tcBorders>
              <w:tl2br w:val="nil"/>
              <w:tr2bl w:val="nil"/>
            </w:tcBorders>
            <w:vAlign w:val="center"/>
          </w:tcPr>
          <w:p w14:paraId="0EDFF4B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物业安全管理</w:t>
            </w:r>
          </w:p>
        </w:tc>
        <w:tc>
          <w:tcPr>
            <w:tcW w:w="651" w:type="dxa"/>
            <w:tcBorders>
              <w:tl2br w:val="nil"/>
              <w:tr2bl w:val="nil"/>
            </w:tcBorders>
            <w:vAlign w:val="center"/>
          </w:tcPr>
          <w:p w14:paraId="1A3F42DA">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F354FE6">
            <w:pPr>
              <w:adjustRightInd w:val="0"/>
              <w:snapToGrid w:val="0"/>
              <w:spacing w:after="0" w:line="240" w:lineRule="auto"/>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5EAB105">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5DD77A21">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271C3D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rPr>
              <w:t>4</w:t>
            </w:r>
          </w:p>
        </w:tc>
        <w:tc>
          <w:tcPr>
            <w:tcW w:w="569" w:type="dxa"/>
            <w:tcBorders>
              <w:tl2br w:val="nil"/>
              <w:tr2bl w:val="nil"/>
            </w:tcBorders>
            <w:vAlign w:val="center"/>
          </w:tcPr>
          <w:p w14:paraId="15CE6764">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1E7F072A">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DA5C42A">
            <w:pPr>
              <w:adjustRightInd w:val="0"/>
              <w:snapToGrid w:val="0"/>
              <w:spacing w:after="0" w:line="240" w:lineRule="auto"/>
              <w:rPr>
                <w:rFonts w:hint="eastAsia"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70CA371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b w:val="0"/>
                <w:bCs w:val="0"/>
                <w:color w:val="auto"/>
                <w:sz w:val="21"/>
                <w:szCs w:val="21"/>
                <w:highlight w:val="none"/>
              </w:rPr>
              <w:t>4</w:t>
            </w:r>
          </w:p>
        </w:tc>
        <w:tc>
          <w:tcPr>
            <w:tcW w:w="501" w:type="dxa"/>
            <w:tcBorders>
              <w:tl2br w:val="nil"/>
              <w:tr2bl w:val="nil"/>
            </w:tcBorders>
            <w:vAlign w:val="center"/>
          </w:tcPr>
          <w:p w14:paraId="3D22325B">
            <w:pPr>
              <w:adjustRightInd w:val="0"/>
              <w:snapToGrid w:val="0"/>
              <w:spacing w:after="0" w:line="240" w:lineRule="auto"/>
              <w:rPr>
                <w:rFonts w:hint="eastAsia" w:ascii="宋体" w:hAnsi="宋体" w:eastAsia="宋体" w:cs="宋体"/>
                <w:sz w:val="21"/>
                <w:szCs w:val="21"/>
                <w:highlight w:val="none"/>
              </w:rPr>
            </w:pPr>
          </w:p>
        </w:tc>
        <w:tc>
          <w:tcPr>
            <w:tcW w:w="584" w:type="dxa"/>
            <w:tcBorders>
              <w:tl2br w:val="nil"/>
              <w:tr2bl w:val="nil"/>
            </w:tcBorders>
            <w:vAlign w:val="center"/>
          </w:tcPr>
          <w:p w14:paraId="56316AF6">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vAlign w:val="center"/>
          </w:tcPr>
          <w:p w14:paraId="1EEE1FA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F00FD35">
            <w:pPr>
              <w:adjustRightInd w:val="0"/>
              <w:snapToGrid w:val="0"/>
              <w:spacing w:after="0" w:line="240" w:lineRule="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782B0C3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355" w:type="dxa"/>
            <w:gridSpan w:val="2"/>
            <w:vMerge w:val="continue"/>
            <w:tcBorders>
              <w:left w:val="thinThickSmallGap" w:color="000000" w:sz="12" w:space="0"/>
              <w:tl2br w:val="nil"/>
              <w:tr2bl w:val="nil"/>
            </w:tcBorders>
            <w:vAlign w:val="center"/>
          </w:tcPr>
          <w:p w14:paraId="45134B61">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60D249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BA7160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房屋构造与维护</w:t>
            </w:r>
          </w:p>
        </w:tc>
        <w:tc>
          <w:tcPr>
            <w:tcW w:w="651" w:type="dxa"/>
            <w:tcBorders>
              <w:tl2br w:val="nil"/>
              <w:tr2bl w:val="nil"/>
            </w:tcBorders>
            <w:vAlign w:val="center"/>
          </w:tcPr>
          <w:p w14:paraId="2B05342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w:t>
            </w:r>
          </w:p>
        </w:tc>
        <w:tc>
          <w:tcPr>
            <w:tcW w:w="413" w:type="dxa"/>
            <w:tcBorders>
              <w:tl2br w:val="nil"/>
              <w:tr2bl w:val="nil"/>
            </w:tcBorders>
            <w:vAlign w:val="center"/>
          </w:tcPr>
          <w:p w14:paraId="0981EA53">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w:t>
            </w:r>
          </w:p>
        </w:tc>
        <w:tc>
          <w:tcPr>
            <w:tcW w:w="581" w:type="dxa"/>
            <w:tcBorders>
              <w:tl2br w:val="nil"/>
              <w:tr2bl w:val="nil"/>
            </w:tcBorders>
            <w:vAlign w:val="center"/>
          </w:tcPr>
          <w:p w14:paraId="164D7743">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w:t>
            </w:r>
          </w:p>
        </w:tc>
        <w:tc>
          <w:tcPr>
            <w:tcW w:w="619" w:type="dxa"/>
            <w:tcBorders>
              <w:tl2br w:val="nil"/>
              <w:tr2bl w:val="nil"/>
            </w:tcBorders>
            <w:vAlign w:val="center"/>
          </w:tcPr>
          <w:p w14:paraId="3557BA4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48</w:t>
            </w:r>
          </w:p>
        </w:tc>
        <w:tc>
          <w:tcPr>
            <w:tcW w:w="602" w:type="dxa"/>
            <w:tcBorders>
              <w:tl2br w:val="nil"/>
              <w:tr2bl w:val="nil"/>
            </w:tcBorders>
            <w:vAlign w:val="center"/>
          </w:tcPr>
          <w:p w14:paraId="1B17C5D4">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24</w:t>
            </w:r>
          </w:p>
        </w:tc>
        <w:tc>
          <w:tcPr>
            <w:tcW w:w="569" w:type="dxa"/>
            <w:tcBorders>
              <w:tl2br w:val="nil"/>
              <w:tr2bl w:val="nil"/>
            </w:tcBorders>
            <w:noWrap/>
            <w:vAlign w:val="center"/>
          </w:tcPr>
          <w:p w14:paraId="28E5E53B">
            <w:pPr>
              <w:adjustRightInd w:val="0"/>
              <w:snapToGrid w:val="0"/>
              <w:spacing w:after="0" w:line="240" w:lineRule="auto"/>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1FD63B7A">
            <w:pPr>
              <w:adjustRightInd w:val="0"/>
              <w:snapToGrid w:val="0"/>
              <w:spacing w:after="0" w:line="240" w:lineRule="auto"/>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vAlign w:val="center"/>
          </w:tcPr>
          <w:p w14:paraId="61E8A1CA">
            <w:pPr>
              <w:adjustRightInd w:val="0"/>
              <w:snapToGrid w:val="0"/>
              <w:spacing w:after="0" w:line="240" w:lineRule="auto"/>
              <w:rPr>
                <w:rFonts w:hint="eastAsia" w:ascii="宋体" w:hAnsi="宋体" w:eastAsia="宋体" w:cs="宋体"/>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22B87DEF">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color w:val="auto"/>
                <w:sz w:val="21"/>
                <w:szCs w:val="21"/>
                <w:highlight w:val="none"/>
                <w:lang w:val="en-US" w:eastAsia="zh-CN"/>
              </w:rPr>
              <w:t>4</w:t>
            </w:r>
          </w:p>
        </w:tc>
        <w:tc>
          <w:tcPr>
            <w:tcW w:w="501" w:type="dxa"/>
            <w:tcBorders>
              <w:tl2br w:val="nil"/>
              <w:tr2bl w:val="nil"/>
            </w:tcBorders>
            <w:vAlign w:val="center"/>
          </w:tcPr>
          <w:p w14:paraId="25C35BEC">
            <w:pPr>
              <w:adjustRightInd w:val="0"/>
              <w:snapToGrid w:val="0"/>
              <w:spacing w:after="0" w:line="240" w:lineRule="auto"/>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4584C37F">
            <w:pPr>
              <w:adjustRightInd w:val="0"/>
              <w:snapToGrid w:val="0"/>
              <w:spacing w:after="0" w:line="240" w:lineRule="auto"/>
              <w:rPr>
                <w:rFonts w:hint="eastAsia" w:ascii="宋体" w:hAnsi="宋体" w:eastAsia="宋体" w:cs="宋体"/>
                <w:sz w:val="21"/>
                <w:szCs w:val="21"/>
                <w:highlight w:val="none"/>
                <w:lang w:val="en-US" w:eastAsia="zh-CN"/>
              </w:rPr>
            </w:pPr>
          </w:p>
        </w:tc>
        <w:tc>
          <w:tcPr>
            <w:tcW w:w="469" w:type="dxa"/>
            <w:tcBorders>
              <w:tl2br w:val="nil"/>
              <w:tr2bl w:val="nil"/>
            </w:tcBorders>
            <w:vAlign w:val="center"/>
          </w:tcPr>
          <w:p w14:paraId="4A3E6180">
            <w:pPr>
              <w:adjustRightInd w:val="0"/>
              <w:snapToGrid w:val="0"/>
              <w:spacing w:after="0" w:line="240" w:lineRule="auto"/>
              <w:rPr>
                <w:rFonts w:hint="eastAsia" w:ascii="宋体" w:hAnsi="宋体" w:eastAsia="宋体" w:cs="宋体"/>
                <w:sz w:val="21"/>
                <w:szCs w:val="21"/>
                <w:highlight w:val="none"/>
                <w:lang w:val="en-US" w:eastAsia="zh-CN"/>
              </w:rPr>
            </w:pPr>
          </w:p>
        </w:tc>
        <w:tc>
          <w:tcPr>
            <w:tcW w:w="522" w:type="dxa"/>
            <w:tcBorders>
              <w:right w:val="thinThickSmallGap" w:color="000000" w:sz="12" w:space="0"/>
              <w:tl2br w:val="nil"/>
              <w:tr2bl w:val="nil"/>
            </w:tcBorders>
            <w:noWrap/>
            <w:vAlign w:val="center"/>
          </w:tcPr>
          <w:p w14:paraId="5191B52A">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r>
      <w:tr w14:paraId="4726E3B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355" w:type="dxa"/>
            <w:gridSpan w:val="2"/>
            <w:vMerge w:val="continue"/>
            <w:tcBorders>
              <w:left w:val="thinThickSmallGap" w:color="000000" w:sz="12" w:space="0"/>
              <w:tl2br w:val="nil"/>
              <w:tr2bl w:val="nil"/>
            </w:tcBorders>
            <w:vAlign w:val="center"/>
          </w:tcPr>
          <w:p w14:paraId="191FB5FD">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7DD054E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563BCBA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物业招投标与合同管理</w:t>
            </w:r>
          </w:p>
        </w:tc>
        <w:tc>
          <w:tcPr>
            <w:tcW w:w="651" w:type="dxa"/>
            <w:tcBorders>
              <w:tl2br w:val="nil"/>
              <w:tr2bl w:val="nil"/>
            </w:tcBorders>
            <w:vAlign w:val="center"/>
          </w:tcPr>
          <w:p w14:paraId="4EAA9FA4">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w:t>
            </w:r>
          </w:p>
        </w:tc>
        <w:tc>
          <w:tcPr>
            <w:tcW w:w="413" w:type="dxa"/>
            <w:tcBorders>
              <w:tl2br w:val="nil"/>
              <w:tr2bl w:val="nil"/>
            </w:tcBorders>
            <w:vAlign w:val="center"/>
          </w:tcPr>
          <w:p w14:paraId="6432B65D">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w:t>
            </w:r>
          </w:p>
        </w:tc>
        <w:tc>
          <w:tcPr>
            <w:tcW w:w="581" w:type="dxa"/>
            <w:tcBorders>
              <w:tl2br w:val="nil"/>
              <w:tr2bl w:val="nil"/>
            </w:tcBorders>
            <w:vAlign w:val="center"/>
          </w:tcPr>
          <w:p w14:paraId="0113D8A9">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w:t>
            </w:r>
          </w:p>
        </w:tc>
        <w:tc>
          <w:tcPr>
            <w:tcW w:w="619" w:type="dxa"/>
            <w:tcBorders>
              <w:tl2br w:val="nil"/>
              <w:tr2bl w:val="nil"/>
            </w:tcBorders>
            <w:vAlign w:val="center"/>
          </w:tcPr>
          <w:p w14:paraId="3369DA89">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48</w:t>
            </w:r>
          </w:p>
        </w:tc>
        <w:tc>
          <w:tcPr>
            <w:tcW w:w="602" w:type="dxa"/>
            <w:tcBorders>
              <w:tl2br w:val="nil"/>
              <w:tr2bl w:val="nil"/>
            </w:tcBorders>
            <w:vAlign w:val="center"/>
          </w:tcPr>
          <w:p w14:paraId="500EFE5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24</w:t>
            </w:r>
          </w:p>
        </w:tc>
        <w:tc>
          <w:tcPr>
            <w:tcW w:w="569" w:type="dxa"/>
            <w:tcBorders>
              <w:tl2br w:val="nil"/>
              <w:tr2bl w:val="nil"/>
            </w:tcBorders>
            <w:vAlign w:val="center"/>
          </w:tcPr>
          <w:p w14:paraId="4029058A">
            <w:pPr>
              <w:adjustRightInd w:val="0"/>
              <w:snapToGrid w:val="0"/>
              <w:spacing w:after="0" w:line="240" w:lineRule="auto"/>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6E6EA0AE">
            <w:pPr>
              <w:adjustRightInd w:val="0"/>
              <w:snapToGrid w:val="0"/>
              <w:spacing w:after="0" w:line="240" w:lineRule="auto"/>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noWrap/>
            <w:vAlign w:val="center"/>
          </w:tcPr>
          <w:p w14:paraId="69443D1C">
            <w:pPr>
              <w:adjustRightInd w:val="0"/>
              <w:snapToGrid w:val="0"/>
              <w:spacing w:after="0" w:line="240" w:lineRule="auto"/>
              <w:rPr>
                <w:rFonts w:hint="eastAsia" w:ascii="宋体" w:hAnsi="宋体" w:eastAsia="宋体" w:cs="宋体"/>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noWrap/>
            <w:vAlign w:val="center"/>
          </w:tcPr>
          <w:p w14:paraId="4BD292F0">
            <w:pPr>
              <w:adjustRightInd w:val="0"/>
              <w:snapToGrid w:val="0"/>
              <w:spacing w:after="0" w:line="240" w:lineRule="auto"/>
              <w:rPr>
                <w:rFonts w:hint="eastAsia" w:ascii="宋体" w:hAnsi="宋体" w:eastAsia="宋体" w:cs="宋体"/>
                <w:sz w:val="21"/>
                <w:szCs w:val="21"/>
                <w:highlight w:val="none"/>
                <w:lang w:val="en-US" w:eastAsia="zh-CN" w:bidi="ar-SA"/>
              </w:rPr>
            </w:pPr>
            <w:r>
              <w:rPr>
                <w:rFonts w:hint="eastAsia" w:ascii="宋体" w:hAnsi="宋体" w:eastAsia="宋体" w:cs="宋体"/>
                <w:color w:val="auto"/>
                <w:sz w:val="21"/>
                <w:szCs w:val="21"/>
                <w:highlight w:val="none"/>
                <w:lang w:val="en-US" w:eastAsia="zh-CN"/>
              </w:rPr>
              <w:t>4</w:t>
            </w:r>
          </w:p>
        </w:tc>
        <w:tc>
          <w:tcPr>
            <w:tcW w:w="501" w:type="dxa"/>
            <w:tcBorders>
              <w:tl2br w:val="nil"/>
              <w:tr2bl w:val="nil"/>
            </w:tcBorders>
            <w:noWrap/>
            <w:vAlign w:val="center"/>
          </w:tcPr>
          <w:p w14:paraId="215F2301">
            <w:pPr>
              <w:adjustRightInd w:val="0"/>
              <w:snapToGrid w:val="0"/>
              <w:spacing w:after="0" w:line="240" w:lineRule="auto"/>
              <w:rPr>
                <w:rFonts w:hint="eastAsia" w:ascii="宋体" w:hAnsi="宋体" w:eastAsia="宋体" w:cs="宋体"/>
                <w:sz w:val="21"/>
                <w:szCs w:val="21"/>
                <w:highlight w:val="none"/>
                <w:lang w:val="en-US" w:eastAsia="zh-CN"/>
              </w:rPr>
            </w:pPr>
          </w:p>
        </w:tc>
        <w:tc>
          <w:tcPr>
            <w:tcW w:w="584" w:type="dxa"/>
            <w:tcBorders>
              <w:tl2br w:val="nil"/>
              <w:tr2bl w:val="nil"/>
            </w:tcBorders>
            <w:noWrap/>
            <w:vAlign w:val="center"/>
          </w:tcPr>
          <w:p w14:paraId="5D0115D4">
            <w:pPr>
              <w:adjustRightInd w:val="0"/>
              <w:snapToGrid w:val="0"/>
              <w:spacing w:after="0" w:line="240" w:lineRule="auto"/>
              <w:rPr>
                <w:rFonts w:hint="eastAsia" w:ascii="宋体" w:hAnsi="宋体" w:eastAsia="宋体" w:cs="宋体"/>
                <w:sz w:val="21"/>
                <w:szCs w:val="21"/>
                <w:highlight w:val="none"/>
                <w:lang w:val="en-US" w:eastAsia="zh-CN"/>
              </w:rPr>
            </w:pPr>
          </w:p>
        </w:tc>
        <w:tc>
          <w:tcPr>
            <w:tcW w:w="469" w:type="dxa"/>
            <w:tcBorders>
              <w:tl2br w:val="nil"/>
              <w:tr2bl w:val="nil"/>
            </w:tcBorders>
            <w:noWrap/>
            <w:vAlign w:val="center"/>
          </w:tcPr>
          <w:p w14:paraId="3B42CE70">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c>
          <w:tcPr>
            <w:tcW w:w="522" w:type="dxa"/>
            <w:tcBorders>
              <w:right w:val="thinThickSmallGap" w:color="000000" w:sz="12" w:space="0"/>
              <w:tl2br w:val="nil"/>
              <w:tr2bl w:val="nil"/>
            </w:tcBorders>
            <w:vAlign w:val="center"/>
          </w:tcPr>
          <w:p w14:paraId="4B054AA9">
            <w:pPr>
              <w:adjustRightInd w:val="0"/>
              <w:snapToGrid w:val="0"/>
              <w:spacing w:after="0" w:line="240" w:lineRule="auto"/>
              <w:rPr>
                <w:rFonts w:hint="eastAsia" w:ascii="宋体" w:hAnsi="宋体" w:eastAsia="宋体" w:cs="宋体"/>
                <w:sz w:val="21"/>
                <w:szCs w:val="21"/>
                <w:highlight w:val="none"/>
                <w:lang w:val="en-US" w:eastAsia="zh-CN"/>
              </w:rPr>
            </w:pPr>
          </w:p>
        </w:tc>
      </w:tr>
      <w:tr w14:paraId="2359ED9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355" w:type="dxa"/>
            <w:gridSpan w:val="2"/>
            <w:vMerge w:val="continue"/>
            <w:tcBorders>
              <w:left w:val="thinThickSmallGap" w:color="000000" w:sz="12" w:space="0"/>
              <w:tl2br w:val="nil"/>
              <w:tr2bl w:val="nil"/>
            </w:tcBorders>
            <w:vAlign w:val="center"/>
          </w:tcPr>
          <w:p w14:paraId="0CBE4C7C">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45DB9581">
            <w:pPr>
              <w:adjustRightInd w:val="0"/>
              <w:snapToGrid w:val="0"/>
              <w:spacing w:after="0" w:line="240" w:lineRule="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拓展课程</w:t>
            </w:r>
          </w:p>
        </w:tc>
        <w:tc>
          <w:tcPr>
            <w:tcW w:w="1426" w:type="dxa"/>
            <w:tcBorders>
              <w:tl2br w:val="nil"/>
              <w:tr2bl w:val="nil"/>
            </w:tcBorders>
            <w:vAlign w:val="center"/>
          </w:tcPr>
          <w:p w14:paraId="4F1D8D5F">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房地产投资分析</w:t>
            </w:r>
          </w:p>
        </w:tc>
        <w:tc>
          <w:tcPr>
            <w:tcW w:w="651" w:type="dxa"/>
            <w:tcBorders>
              <w:tl2br w:val="nil"/>
              <w:tr2bl w:val="nil"/>
            </w:tcBorders>
            <w:vAlign w:val="center"/>
          </w:tcPr>
          <w:p w14:paraId="6042534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42DD7551">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B5CDDC3">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2FD6D6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5FF3B3BA">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7E84F52B">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1B9C8465">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AA91B06">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2</w:t>
            </w:r>
          </w:p>
        </w:tc>
        <w:tc>
          <w:tcPr>
            <w:tcW w:w="535" w:type="dxa"/>
            <w:tcBorders>
              <w:tl2br w:val="nil"/>
              <w:tr2bl w:val="nil"/>
            </w:tcBorders>
            <w:vAlign w:val="center"/>
          </w:tcPr>
          <w:p w14:paraId="2C1249B5">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5372D18E">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6AC122BE">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6E1FCAC0">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02BD4A2B">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82498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714" w:hRule="atLeast"/>
        </w:trPr>
        <w:tc>
          <w:tcPr>
            <w:tcW w:w="355" w:type="dxa"/>
            <w:gridSpan w:val="2"/>
            <w:vMerge w:val="continue"/>
            <w:tcBorders>
              <w:left w:val="thinThickSmallGap" w:color="000000" w:sz="12" w:space="0"/>
              <w:tl2br w:val="nil"/>
              <w:tr2bl w:val="nil"/>
            </w:tcBorders>
            <w:vAlign w:val="center"/>
          </w:tcPr>
          <w:p w14:paraId="58115FE6">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50EDBA1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4CA7258E">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房地产估价实务</w:t>
            </w:r>
          </w:p>
        </w:tc>
        <w:tc>
          <w:tcPr>
            <w:tcW w:w="651" w:type="dxa"/>
            <w:tcBorders>
              <w:tl2br w:val="nil"/>
              <w:tr2bl w:val="nil"/>
            </w:tcBorders>
            <w:vAlign w:val="center"/>
          </w:tcPr>
          <w:p w14:paraId="781B4B77">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678F5B80">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8BFCAFD">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3EB795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12947F51">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73CE3706">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tcPr>
          <w:p w14:paraId="73AFA0BC">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7229D40">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2</w:t>
            </w:r>
          </w:p>
        </w:tc>
        <w:tc>
          <w:tcPr>
            <w:tcW w:w="535" w:type="dxa"/>
            <w:tcBorders>
              <w:tl2br w:val="nil"/>
              <w:tr2bl w:val="nil"/>
            </w:tcBorders>
            <w:vAlign w:val="center"/>
          </w:tcPr>
          <w:p w14:paraId="53A4629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tcPr>
          <w:p w14:paraId="62DB7C76">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tcPr>
          <w:p w14:paraId="27F28459">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5620BFEB">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2D15F293">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015C165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702" w:hRule="atLeast"/>
        </w:trPr>
        <w:tc>
          <w:tcPr>
            <w:tcW w:w="355" w:type="dxa"/>
            <w:gridSpan w:val="2"/>
            <w:vMerge w:val="continue"/>
            <w:tcBorders>
              <w:left w:val="thinThickSmallGap" w:color="000000" w:sz="12" w:space="0"/>
              <w:tl2br w:val="nil"/>
              <w:tr2bl w:val="nil"/>
            </w:tcBorders>
            <w:vAlign w:val="center"/>
          </w:tcPr>
          <w:p w14:paraId="7B2247E5">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A247ADD">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6A8741B">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老旧小区改造实务</w:t>
            </w:r>
          </w:p>
        </w:tc>
        <w:tc>
          <w:tcPr>
            <w:tcW w:w="651" w:type="dxa"/>
            <w:tcBorders>
              <w:tl2br w:val="nil"/>
              <w:tr2bl w:val="nil"/>
            </w:tcBorders>
            <w:vAlign w:val="center"/>
          </w:tcPr>
          <w:p w14:paraId="3CD960D5">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52FBBDDF">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2037BFD4">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6B764225">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5F6A3AD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0DD73927">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shd w:val="clear" w:color="auto" w:fill="auto"/>
          </w:tcPr>
          <w:p w14:paraId="0F0280F7">
            <w:pPr>
              <w:adjustRightInd w:val="0"/>
              <w:snapToGrid w:val="0"/>
              <w:spacing w:after="0" w:line="240" w:lineRule="auto"/>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66C51020">
            <w:pPr>
              <w:adjustRightInd w:val="0"/>
              <w:snapToGrid w:val="0"/>
              <w:spacing w:after="0" w:line="240" w:lineRule="auto"/>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2</w:t>
            </w:r>
          </w:p>
        </w:tc>
        <w:tc>
          <w:tcPr>
            <w:tcW w:w="535" w:type="dxa"/>
            <w:tcBorders>
              <w:tl2br w:val="nil"/>
              <w:tr2bl w:val="nil"/>
            </w:tcBorders>
            <w:noWrap/>
            <w:vAlign w:val="center"/>
          </w:tcPr>
          <w:p w14:paraId="372EDD42">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75046FF9">
            <w:pPr>
              <w:adjustRightInd w:val="0"/>
              <w:snapToGrid w:val="0"/>
              <w:spacing w:after="0" w:line="240" w:lineRule="auto"/>
              <w:rPr>
                <w:rFonts w:ascii="宋体" w:hAnsi="宋体" w:eastAsia="宋体" w:cs="宋体"/>
                <w:b w:val="0"/>
                <w:bCs w:val="0"/>
                <w:sz w:val="21"/>
                <w:szCs w:val="21"/>
                <w:highlight w:val="none"/>
              </w:rPr>
            </w:pPr>
          </w:p>
        </w:tc>
        <w:tc>
          <w:tcPr>
            <w:tcW w:w="584" w:type="dxa"/>
            <w:tcBorders>
              <w:tl2br w:val="nil"/>
              <w:tr2bl w:val="nil"/>
            </w:tcBorders>
            <w:vAlign w:val="center"/>
          </w:tcPr>
          <w:p w14:paraId="089A50F0">
            <w:pPr>
              <w:adjustRightInd w:val="0"/>
              <w:snapToGrid w:val="0"/>
              <w:spacing w:after="0" w:line="240" w:lineRule="auto"/>
              <w:rPr>
                <w:rFonts w:ascii="宋体" w:hAnsi="宋体" w:eastAsia="宋体" w:cs="宋体"/>
                <w:b w:val="0"/>
                <w:bCs w:val="0"/>
                <w:sz w:val="21"/>
                <w:szCs w:val="21"/>
                <w:highlight w:val="none"/>
              </w:rPr>
            </w:pPr>
          </w:p>
        </w:tc>
        <w:tc>
          <w:tcPr>
            <w:tcW w:w="469" w:type="dxa"/>
            <w:tcBorders>
              <w:tl2br w:val="nil"/>
              <w:tr2bl w:val="nil"/>
            </w:tcBorders>
            <w:noWrap/>
            <w:vAlign w:val="center"/>
          </w:tcPr>
          <w:p w14:paraId="7EE3ADC2">
            <w:pPr>
              <w:adjustRightInd w:val="0"/>
              <w:snapToGrid w:val="0"/>
              <w:spacing w:after="0" w:line="240" w:lineRule="auto"/>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3943426">
            <w:pPr>
              <w:adjustRightInd w:val="0"/>
              <w:snapToGrid w:val="0"/>
              <w:spacing w:after="0" w:line="240" w:lineRule="auto"/>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7001964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6" w:hRule="atLeast"/>
        </w:trPr>
        <w:tc>
          <w:tcPr>
            <w:tcW w:w="355" w:type="dxa"/>
            <w:gridSpan w:val="2"/>
            <w:vMerge w:val="continue"/>
            <w:tcBorders>
              <w:left w:val="thinThickSmallGap" w:color="000000" w:sz="12" w:space="0"/>
              <w:tl2br w:val="nil"/>
              <w:tr2bl w:val="nil"/>
            </w:tcBorders>
            <w:vAlign w:val="center"/>
          </w:tcPr>
          <w:p w14:paraId="46128101">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683743C0">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3B473483">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社区数字化基础</w:t>
            </w:r>
          </w:p>
        </w:tc>
        <w:tc>
          <w:tcPr>
            <w:tcW w:w="651" w:type="dxa"/>
            <w:tcBorders>
              <w:tl2br w:val="nil"/>
              <w:tr2bl w:val="nil"/>
            </w:tcBorders>
            <w:vAlign w:val="center"/>
          </w:tcPr>
          <w:p w14:paraId="1D08EE42">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0372300">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3F15B8F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00E2F0B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0D1AC0B5">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76AC191D">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tcPr>
          <w:p w14:paraId="0A7D8B3C">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F151CE0">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7E44DC33">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2</w:t>
            </w:r>
          </w:p>
        </w:tc>
        <w:tc>
          <w:tcPr>
            <w:tcW w:w="501" w:type="dxa"/>
            <w:tcBorders>
              <w:tl2br w:val="nil"/>
              <w:tr2bl w:val="nil"/>
            </w:tcBorders>
            <w:vAlign w:val="center"/>
          </w:tcPr>
          <w:p w14:paraId="4F23C6F7">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68F18FFA">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0464A6D0">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0F84589A">
            <w:pPr>
              <w:adjustRightInd w:val="0"/>
              <w:snapToGrid w:val="0"/>
              <w:spacing w:after="0" w:line="240" w:lineRule="auto"/>
              <w:rPr>
                <w:rFonts w:hint="eastAsia" w:ascii="宋体" w:hAnsi="宋体" w:eastAsia="宋体" w:cs="宋体"/>
                <w:sz w:val="21"/>
                <w:szCs w:val="21"/>
                <w:highlight w:val="none"/>
              </w:rPr>
            </w:pPr>
          </w:p>
        </w:tc>
      </w:tr>
      <w:tr w14:paraId="57E1713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6" w:hRule="atLeast"/>
        </w:trPr>
        <w:tc>
          <w:tcPr>
            <w:tcW w:w="355" w:type="dxa"/>
            <w:gridSpan w:val="2"/>
            <w:vMerge w:val="continue"/>
            <w:tcBorders>
              <w:left w:val="thinThickSmallGap" w:color="000000" w:sz="12" w:space="0"/>
              <w:tl2br w:val="nil"/>
              <w:tr2bl w:val="nil"/>
            </w:tcBorders>
            <w:vAlign w:val="center"/>
          </w:tcPr>
          <w:p w14:paraId="46E3E15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0354C0E">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534A2038">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房地产经纪实务</w:t>
            </w:r>
          </w:p>
        </w:tc>
        <w:tc>
          <w:tcPr>
            <w:tcW w:w="651" w:type="dxa"/>
            <w:tcBorders>
              <w:tl2br w:val="nil"/>
              <w:tr2bl w:val="nil"/>
            </w:tcBorders>
            <w:vAlign w:val="center"/>
          </w:tcPr>
          <w:p w14:paraId="26E7253F">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79A90C8E">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339DA208">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74D60771">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2EF43426">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3212394A">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tcPr>
          <w:p w14:paraId="2FB498D4">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2B9CD9F7">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03D01AE2">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2</w:t>
            </w:r>
          </w:p>
        </w:tc>
        <w:tc>
          <w:tcPr>
            <w:tcW w:w="501" w:type="dxa"/>
            <w:tcBorders>
              <w:tl2br w:val="nil"/>
              <w:tr2bl w:val="nil"/>
            </w:tcBorders>
            <w:vAlign w:val="center"/>
          </w:tcPr>
          <w:p w14:paraId="2DE1C7B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7770C587">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6B82647E">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20E22D58">
            <w:pPr>
              <w:adjustRightInd w:val="0"/>
              <w:snapToGrid w:val="0"/>
              <w:spacing w:after="0" w:line="240" w:lineRule="auto"/>
              <w:rPr>
                <w:rFonts w:hint="eastAsia" w:ascii="宋体" w:hAnsi="宋体" w:eastAsia="宋体" w:cs="宋体"/>
                <w:sz w:val="21"/>
                <w:szCs w:val="21"/>
                <w:highlight w:val="none"/>
              </w:rPr>
            </w:pPr>
          </w:p>
        </w:tc>
      </w:tr>
      <w:tr w14:paraId="48837A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355" w:type="dxa"/>
            <w:gridSpan w:val="2"/>
            <w:vMerge w:val="continue"/>
            <w:tcBorders>
              <w:left w:val="thinThickSmallGap" w:color="000000" w:sz="12" w:space="0"/>
              <w:tl2br w:val="nil"/>
              <w:tr2bl w:val="nil"/>
            </w:tcBorders>
            <w:vAlign w:val="center"/>
          </w:tcPr>
          <w:p w14:paraId="064457E2">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343EA312">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2CE6CCFD">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社区经济与增值服务</w:t>
            </w:r>
          </w:p>
        </w:tc>
        <w:tc>
          <w:tcPr>
            <w:tcW w:w="651" w:type="dxa"/>
            <w:tcBorders>
              <w:tl2br w:val="nil"/>
              <w:tr2bl w:val="nil"/>
            </w:tcBorders>
            <w:vAlign w:val="center"/>
          </w:tcPr>
          <w:p w14:paraId="5D6AE2C4">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1556076A">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15BEB260">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53F0CD43">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0A7A3EBF">
            <w:pPr>
              <w:adjustRightInd w:val="0"/>
              <w:snapToGrid w:val="0"/>
              <w:spacing w:after="0" w:line="240" w:lineRule="auto"/>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7DF76C3D">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shd w:val="clear" w:color="auto" w:fill="auto"/>
          </w:tcPr>
          <w:p w14:paraId="39EBD141">
            <w:pPr>
              <w:adjustRightInd w:val="0"/>
              <w:snapToGrid w:val="0"/>
              <w:spacing w:after="0" w:line="240" w:lineRule="auto"/>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1BECA1D1">
            <w:pPr>
              <w:adjustRightInd w:val="0"/>
              <w:snapToGrid w:val="0"/>
              <w:spacing w:after="0" w:line="240" w:lineRule="auto"/>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0CE4787D">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2</w:t>
            </w:r>
          </w:p>
        </w:tc>
        <w:tc>
          <w:tcPr>
            <w:tcW w:w="501" w:type="dxa"/>
            <w:tcBorders>
              <w:tl2br w:val="nil"/>
              <w:tr2bl w:val="nil"/>
            </w:tcBorders>
            <w:vAlign w:val="center"/>
          </w:tcPr>
          <w:p w14:paraId="60AAC605">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7A5DFDBD">
            <w:pPr>
              <w:adjustRightInd w:val="0"/>
              <w:snapToGrid w:val="0"/>
              <w:spacing w:after="0" w:line="240" w:lineRule="auto"/>
              <w:rPr>
                <w:rFonts w:ascii="宋体" w:hAnsi="宋体" w:eastAsia="宋体" w:cs="宋体"/>
                <w:sz w:val="21"/>
                <w:szCs w:val="21"/>
                <w:highlight w:val="none"/>
              </w:rPr>
            </w:pPr>
          </w:p>
        </w:tc>
        <w:tc>
          <w:tcPr>
            <w:tcW w:w="469" w:type="dxa"/>
            <w:tcBorders>
              <w:tl2br w:val="nil"/>
              <w:tr2bl w:val="nil"/>
            </w:tcBorders>
            <w:noWrap/>
            <w:vAlign w:val="center"/>
          </w:tcPr>
          <w:p w14:paraId="09FEA420">
            <w:pPr>
              <w:adjustRightInd w:val="0"/>
              <w:snapToGrid w:val="0"/>
              <w:spacing w:after="0" w:line="240" w:lineRule="auto"/>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1170E04">
            <w:pPr>
              <w:adjustRightInd w:val="0"/>
              <w:snapToGrid w:val="0"/>
              <w:spacing w:after="0" w:line="240" w:lineRule="auto"/>
              <w:rPr>
                <w:rFonts w:hint="eastAsia" w:ascii="宋体" w:hAnsi="宋体" w:eastAsia="宋体" w:cs="宋体"/>
                <w:sz w:val="21"/>
                <w:szCs w:val="21"/>
                <w:highlight w:val="none"/>
              </w:rPr>
            </w:pPr>
          </w:p>
        </w:tc>
      </w:tr>
      <w:tr w14:paraId="6BE8550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2185" w:type="dxa"/>
            <w:gridSpan w:val="4"/>
            <w:tcBorders>
              <w:left w:val="thinThickSmallGap" w:color="000000" w:sz="12" w:space="0"/>
              <w:tl2br w:val="nil"/>
              <w:tr2bl w:val="nil"/>
            </w:tcBorders>
            <w:vAlign w:val="center"/>
          </w:tcPr>
          <w:p w14:paraId="57DAB839">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76C979F1">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1152</w:t>
            </w:r>
          </w:p>
        </w:tc>
        <w:tc>
          <w:tcPr>
            <w:tcW w:w="413" w:type="dxa"/>
            <w:tcBorders>
              <w:tl2br w:val="nil"/>
              <w:tr2bl w:val="nil"/>
            </w:tcBorders>
            <w:vAlign w:val="center"/>
          </w:tcPr>
          <w:p w14:paraId="6DA86654">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581" w:type="dxa"/>
            <w:tcBorders>
              <w:tl2br w:val="nil"/>
              <w:tr2bl w:val="nil"/>
            </w:tcBorders>
            <w:vAlign w:val="center"/>
          </w:tcPr>
          <w:p w14:paraId="4EBA67FA">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619" w:type="dxa"/>
            <w:tcBorders>
              <w:tl2br w:val="nil"/>
              <w:tr2bl w:val="nil"/>
            </w:tcBorders>
            <w:vAlign w:val="center"/>
          </w:tcPr>
          <w:p w14:paraId="2533AF75">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648</w:t>
            </w:r>
          </w:p>
        </w:tc>
        <w:tc>
          <w:tcPr>
            <w:tcW w:w="602" w:type="dxa"/>
            <w:tcBorders>
              <w:tl2br w:val="nil"/>
              <w:tr2bl w:val="nil"/>
            </w:tcBorders>
            <w:vAlign w:val="center"/>
          </w:tcPr>
          <w:p w14:paraId="52068409">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504</w:t>
            </w:r>
          </w:p>
        </w:tc>
        <w:tc>
          <w:tcPr>
            <w:tcW w:w="569" w:type="dxa"/>
            <w:tcBorders>
              <w:tl2br w:val="nil"/>
              <w:tr2bl w:val="nil"/>
            </w:tcBorders>
            <w:shd w:val="clear" w:color="auto" w:fill="auto"/>
            <w:vAlign w:val="center"/>
          </w:tcPr>
          <w:p w14:paraId="4D936749">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8</w:t>
            </w:r>
          </w:p>
        </w:tc>
        <w:tc>
          <w:tcPr>
            <w:tcW w:w="504" w:type="dxa"/>
            <w:tcBorders>
              <w:tl2br w:val="nil"/>
              <w:tr2bl w:val="nil"/>
            </w:tcBorders>
            <w:shd w:val="clear" w:color="auto" w:fill="auto"/>
            <w:vAlign w:val="center"/>
          </w:tcPr>
          <w:p w14:paraId="5843FD1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12</w:t>
            </w:r>
          </w:p>
        </w:tc>
        <w:tc>
          <w:tcPr>
            <w:tcW w:w="535" w:type="dxa"/>
            <w:tcBorders>
              <w:tl2br w:val="nil"/>
              <w:tr2bl w:val="nil"/>
            </w:tcBorders>
            <w:shd w:val="clear" w:color="auto" w:fill="auto"/>
            <w:vAlign w:val="center"/>
          </w:tcPr>
          <w:p w14:paraId="13D25BBE">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35" w:type="dxa"/>
            <w:tcBorders>
              <w:tl2br w:val="nil"/>
              <w:tr2bl w:val="nil"/>
            </w:tcBorders>
            <w:shd w:val="clear" w:color="auto" w:fill="auto"/>
            <w:noWrap/>
            <w:vAlign w:val="center"/>
          </w:tcPr>
          <w:p w14:paraId="1BE5A82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01" w:type="dxa"/>
            <w:tcBorders>
              <w:tl2br w:val="nil"/>
              <w:tr2bl w:val="nil"/>
            </w:tcBorders>
            <w:vAlign w:val="center"/>
          </w:tcPr>
          <w:p w14:paraId="6142F39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584" w:type="dxa"/>
            <w:tcBorders>
              <w:tl2br w:val="nil"/>
              <w:tr2bl w:val="nil"/>
            </w:tcBorders>
            <w:vAlign w:val="center"/>
          </w:tcPr>
          <w:p w14:paraId="48BCDF85">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4AD91A4">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E4AD046">
            <w:pPr>
              <w:adjustRightInd w:val="0"/>
              <w:snapToGrid w:val="0"/>
              <w:spacing w:after="0" w:line="240" w:lineRule="auto"/>
              <w:jc w:val="center"/>
              <w:rPr>
                <w:rFonts w:hint="eastAsia" w:ascii="宋体" w:hAnsi="宋体" w:eastAsia="宋体" w:cs="宋体"/>
                <w:b w:val="0"/>
                <w:bCs w:val="0"/>
                <w:sz w:val="21"/>
                <w:szCs w:val="21"/>
                <w:highlight w:val="none"/>
              </w:rPr>
            </w:pPr>
          </w:p>
        </w:tc>
      </w:tr>
      <w:tr w14:paraId="1C6B5D6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55" w:type="dxa"/>
            <w:gridSpan w:val="2"/>
            <w:vMerge w:val="restart"/>
            <w:tcBorders>
              <w:left w:val="thinThickSmallGap" w:color="000000" w:sz="12" w:space="0"/>
              <w:tl2br w:val="nil"/>
              <w:tr2bl w:val="nil"/>
            </w:tcBorders>
            <w:vAlign w:val="center"/>
          </w:tcPr>
          <w:p w14:paraId="76FA5770">
            <w:pPr>
              <w:adjustRightInd w:val="0"/>
              <w:snapToGrid w:val="0"/>
              <w:spacing w:after="0" w:line="240" w:lineRule="auto"/>
              <w:rPr>
                <w:rFonts w:ascii="宋体" w:hAnsi="宋体" w:eastAsia="宋体" w:cs="宋体"/>
                <w:sz w:val="21"/>
                <w:szCs w:val="21"/>
                <w:highlight w:val="none"/>
              </w:rPr>
            </w:pPr>
          </w:p>
        </w:tc>
        <w:tc>
          <w:tcPr>
            <w:tcW w:w="404" w:type="dxa"/>
            <w:vMerge w:val="restart"/>
            <w:tcBorders>
              <w:tl2br w:val="nil"/>
              <w:tr2bl w:val="nil"/>
            </w:tcBorders>
            <w:vAlign w:val="center"/>
          </w:tcPr>
          <w:p w14:paraId="46E22E52">
            <w:pPr>
              <w:adjustRightInd w:val="0"/>
              <w:snapToGrid w:val="0"/>
              <w:spacing w:after="0" w:line="240" w:lineRule="auto"/>
              <w:rPr>
                <w:rFonts w:hint="default" w:ascii="宋体" w:hAnsi="宋体" w:eastAsia="宋体" w:cs="宋体"/>
                <w:sz w:val="21"/>
                <w:szCs w:val="21"/>
                <w:highlight w:val="none"/>
                <w:lang w:val="en-US" w:eastAsia="zh-CN"/>
              </w:rPr>
            </w:pPr>
            <w:bookmarkStart w:id="379" w:name="OLE_LINK1"/>
            <w:r>
              <w:rPr>
                <w:rFonts w:hint="eastAsia" w:ascii="宋体" w:hAnsi="宋体" w:eastAsia="宋体" w:cs="宋体"/>
                <w:sz w:val="21"/>
                <w:szCs w:val="21"/>
                <w:highlight w:val="none"/>
                <w:lang w:val="en-US" w:eastAsia="zh-CN"/>
              </w:rPr>
              <w:t>岗位实习毕业设</w:t>
            </w:r>
            <w:bookmarkEnd w:id="379"/>
            <w:r>
              <w:rPr>
                <w:rFonts w:hint="eastAsia" w:ascii="宋体" w:hAnsi="宋体" w:eastAsia="宋体" w:cs="宋体"/>
                <w:sz w:val="21"/>
                <w:szCs w:val="21"/>
                <w:highlight w:val="none"/>
                <w:lang w:val="en-US" w:eastAsia="zh-CN"/>
              </w:rPr>
              <w:t>计</w:t>
            </w:r>
          </w:p>
        </w:tc>
        <w:tc>
          <w:tcPr>
            <w:tcW w:w="1426" w:type="dxa"/>
            <w:tcBorders>
              <w:tl2br w:val="nil"/>
              <w:tr2bl w:val="nil"/>
            </w:tcBorders>
            <w:vAlign w:val="center"/>
          </w:tcPr>
          <w:p w14:paraId="13FEDE95">
            <w:pPr>
              <w:adjustRightInd w:val="0"/>
              <w:snapToGrid w:val="0"/>
              <w:spacing w:after="0" w:line="240" w:lineRule="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岗前培训</w:t>
            </w:r>
          </w:p>
        </w:tc>
        <w:tc>
          <w:tcPr>
            <w:tcW w:w="651" w:type="dxa"/>
            <w:tcBorders>
              <w:tl2br w:val="nil"/>
              <w:tr2bl w:val="nil"/>
            </w:tcBorders>
            <w:vAlign w:val="center"/>
          </w:tcPr>
          <w:p w14:paraId="4033B90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2081BB87">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0A852F1D">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6BD122A0">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03499CD7">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627C93A7">
            <w:pPr>
              <w:adjustRightInd w:val="0"/>
              <w:snapToGrid w:val="0"/>
              <w:spacing w:after="0" w:line="240" w:lineRule="auto"/>
              <w:rPr>
                <w:rFonts w:ascii="宋体" w:hAnsi="宋体" w:eastAsia="宋体" w:cs="宋体"/>
                <w:b w:val="0"/>
                <w:bCs w:val="0"/>
                <w:sz w:val="21"/>
                <w:szCs w:val="21"/>
                <w:highlight w:val="none"/>
              </w:rPr>
            </w:pPr>
          </w:p>
        </w:tc>
        <w:tc>
          <w:tcPr>
            <w:tcW w:w="504" w:type="dxa"/>
            <w:tcBorders>
              <w:tl2br w:val="nil"/>
              <w:tr2bl w:val="nil"/>
            </w:tcBorders>
            <w:vAlign w:val="center"/>
          </w:tcPr>
          <w:p w14:paraId="5A2FD472">
            <w:pPr>
              <w:adjustRightInd w:val="0"/>
              <w:snapToGrid w:val="0"/>
              <w:spacing w:after="0" w:line="240" w:lineRule="auto"/>
              <w:rPr>
                <w:rFonts w:ascii="宋体" w:hAnsi="宋体" w:eastAsia="宋体" w:cs="宋体"/>
                <w:b w:val="0"/>
                <w:bCs w:val="0"/>
                <w:sz w:val="21"/>
                <w:szCs w:val="21"/>
                <w:highlight w:val="none"/>
              </w:rPr>
            </w:pPr>
          </w:p>
        </w:tc>
        <w:tc>
          <w:tcPr>
            <w:tcW w:w="535" w:type="dxa"/>
            <w:tcBorders>
              <w:tl2br w:val="nil"/>
              <w:tr2bl w:val="nil"/>
            </w:tcBorders>
            <w:vAlign w:val="center"/>
          </w:tcPr>
          <w:p w14:paraId="241DB47F">
            <w:pPr>
              <w:adjustRightInd w:val="0"/>
              <w:snapToGrid w:val="0"/>
              <w:spacing w:after="0" w:line="240" w:lineRule="auto"/>
              <w:rPr>
                <w:rFonts w:ascii="宋体" w:hAnsi="宋体" w:eastAsia="宋体" w:cs="宋体"/>
                <w:b w:val="0"/>
                <w:bCs w:val="0"/>
                <w:sz w:val="21"/>
                <w:szCs w:val="21"/>
                <w:highlight w:val="none"/>
              </w:rPr>
            </w:pPr>
          </w:p>
        </w:tc>
        <w:tc>
          <w:tcPr>
            <w:tcW w:w="535" w:type="dxa"/>
            <w:tcBorders>
              <w:tl2br w:val="nil"/>
              <w:tr2bl w:val="nil"/>
            </w:tcBorders>
            <w:vAlign w:val="center"/>
          </w:tcPr>
          <w:p w14:paraId="7F656CB5">
            <w:pPr>
              <w:adjustRightInd w:val="0"/>
              <w:snapToGrid w:val="0"/>
              <w:spacing w:after="0" w:line="240" w:lineRule="auto"/>
              <w:rPr>
                <w:rFonts w:ascii="宋体" w:hAnsi="宋体" w:eastAsia="宋体" w:cs="宋体"/>
                <w:b w:val="0"/>
                <w:bCs w:val="0"/>
                <w:sz w:val="21"/>
                <w:szCs w:val="21"/>
                <w:highlight w:val="none"/>
              </w:rPr>
            </w:pPr>
          </w:p>
        </w:tc>
        <w:tc>
          <w:tcPr>
            <w:tcW w:w="501" w:type="dxa"/>
            <w:tcBorders>
              <w:tl2br w:val="nil"/>
              <w:tr2bl w:val="nil"/>
            </w:tcBorders>
            <w:vAlign w:val="center"/>
          </w:tcPr>
          <w:p w14:paraId="0EDDA74C">
            <w:pPr>
              <w:adjustRightInd w:val="0"/>
              <w:snapToGrid w:val="0"/>
              <w:spacing w:after="0" w:line="240" w:lineRule="auto"/>
              <w:rPr>
                <w:rFonts w:ascii="宋体" w:hAnsi="宋体" w:eastAsia="宋体" w:cs="宋体"/>
                <w:b w:val="0"/>
                <w:bCs w:val="0"/>
                <w:sz w:val="15"/>
                <w:szCs w:val="15"/>
                <w:highlight w:val="none"/>
              </w:rPr>
            </w:pPr>
            <w:r>
              <w:rPr>
                <w:rFonts w:hint="eastAsia" w:ascii="宋体" w:hAnsi="宋体" w:eastAsia="宋体" w:cs="宋体"/>
                <w:b w:val="0"/>
                <w:bCs w:val="0"/>
                <w:sz w:val="13"/>
                <w:szCs w:val="13"/>
                <w:highlight w:val="none"/>
                <w:lang w:eastAsia="zh-CN"/>
              </w:rPr>
              <w:t>(4)</w:t>
            </w:r>
          </w:p>
        </w:tc>
        <w:tc>
          <w:tcPr>
            <w:tcW w:w="584" w:type="dxa"/>
            <w:tcBorders>
              <w:tl2br w:val="nil"/>
              <w:tr2bl w:val="nil"/>
            </w:tcBorders>
            <w:vAlign w:val="center"/>
          </w:tcPr>
          <w:p w14:paraId="7CE43E89">
            <w:pPr>
              <w:adjustRightInd w:val="0"/>
              <w:snapToGrid w:val="0"/>
              <w:spacing w:after="0" w:line="240" w:lineRule="auto"/>
              <w:rPr>
                <w:rFonts w:hint="eastAsia" w:ascii="宋体" w:hAnsi="宋体" w:eastAsia="宋体" w:cs="宋体"/>
                <w:b w:val="0"/>
                <w:bCs w:val="0"/>
                <w:sz w:val="15"/>
                <w:szCs w:val="15"/>
                <w:highlight w:val="none"/>
              </w:rPr>
            </w:pPr>
          </w:p>
        </w:tc>
        <w:tc>
          <w:tcPr>
            <w:tcW w:w="469" w:type="dxa"/>
            <w:tcBorders>
              <w:tl2br w:val="nil"/>
              <w:tr2bl w:val="nil"/>
            </w:tcBorders>
            <w:noWrap/>
            <w:vAlign w:val="center"/>
          </w:tcPr>
          <w:p w14:paraId="099E02CD">
            <w:pPr>
              <w:adjustRightInd w:val="0"/>
              <w:snapToGrid w:val="0"/>
              <w:spacing w:after="0" w:line="240" w:lineRule="auto"/>
              <w:rPr>
                <w:rFonts w:ascii="宋体" w:hAnsi="宋体" w:eastAsia="宋体" w:cs="宋体"/>
                <w:b w:val="0"/>
                <w:bCs w:val="0"/>
                <w:sz w:val="15"/>
                <w:szCs w:val="15"/>
                <w:highlight w:val="none"/>
              </w:rPr>
            </w:pPr>
          </w:p>
        </w:tc>
        <w:tc>
          <w:tcPr>
            <w:tcW w:w="522" w:type="dxa"/>
            <w:tcBorders>
              <w:right w:val="thinThickSmallGap" w:color="000000" w:sz="12" w:space="0"/>
              <w:tl2br w:val="nil"/>
              <w:tr2bl w:val="nil"/>
            </w:tcBorders>
            <w:noWrap/>
            <w:vAlign w:val="center"/>
          </w:tcPr>
          <w:p w14:paraId="2CD9D3A3">
            <w:pPr>
              <w:adjustRightInd w:val="0"/>
              <w:snapToGrid w:val="0"/>
              <w:spacing w:after="0" w:line="240" w:lineRule="auto"/>
              <w:rPr>
                <w:rFonts w:ascii="宋体" w:hAnsi="宋体" w:eastAsia="宋体" w:cs="宋体"/>
                <w:b w:val="0"/>
                <w:bCs w:val="0"/>
                <w:sz w:val="21"/>
                <w:szCs w:val="21"/>
                <w:highlight w:val="none"/>
              </w:rPr>
            </w:pPr>
          </w:p>
        </w:tc>
      </w:tr>
      <w:tr w14:paraId="100C645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55" w:type="dxa"/>
            <w:gridSpan w:val="2"/>
            <w:vMerge w:val="continue"/>
            <w:tcBorders>
              <w:left w:val="thinThickSmallGap" w:color="000000" w:sz="12" w:space="0"/>
              <w:tl2br w:val="nil"/>
              <w:tr2bl w:val="nil"/>
            </w:tcBorders>
            <w:vAlign w:val="center"/>
          </w:tcPr>
          <w:p w14:paraId="44C84340">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3F303E77">
            <w:pPr>
              <w:adjustRightInd w:val="0"/>
              <w:snapToGrid w:val="0"/>
              <w:spacing w:after="0" w:line="240" w:lineRule="auto"/>
              <w:rPr>
                <w:rFonts w:ascii="宋体" w:hAnsi="宋体" w:eastAsia="宋体" w:cs="宋体"/>
                <w:sz w:val="21"/>
                <w:szCs w:val="21"/>
                <w:highlight w:val="none"/>
              </w:rPr>
            </w:pPr>
          </w:p>
        </w:tc>
        <w:tc>
          <w:tcPr>
            <w:tcW w:w="1426" w:type="dxa"/>
            <w:vMerge w:val="restart"/>
            <w:tcBorders>
              <w:tl2br w:val="nil"/>
              <w:tr2bl w:val="nil"/>
            </w:tcBorders>
            <w:vAlign w:val="center"/>
          </w:tcPr>
          <w:p w14:paraId="49ADB916">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专项实训</w:t>
            </w:r>
          </w:p>
        </w:tc>
        <w:tc>
          <w:tcPr>
            <w:tcW w:w="651" w:type="dxa"/>
            <w:vMerge w:val="restart"/>
            <w:tcBorders>
              <w:tl2br w:val="nil"/>
              <w:tr2bl w:val="nil"/>
            </w:tcBorders>
            <w:vAlign w:val="center"/>
          </w:tcPr>
          <w:p w14:paraId="118983A0">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vMerge w:val="restart"/>
            <w:tcBorders>
              <w:tl2br w:val="nil"/>
              <w:tr2bl w:val="nil"/>
            </w:tcBorders>
            <w:vAlign w:val="center"/>
          </w:tcPr>
          <w:p w14:paraId="34CF9FE3">
            <w:pPr>
              <w:adjustRightInd w:val="0"/>
              <w:snapToGrid w:val="0"/>
              <w:spacing w:after="0" w:line="240" w:lineRule="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vMerge w:val="restart"/>
            <w:tcBorders>
              <w:tl2br w:val="nil"/>
              <w:tr2bl w:val="nil"/>
            </w:tcBorders>
            <w:vAlign w:val="center"/>
          </w:tcPr>
          <w:p w14:paraId="7ED9621B">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vMerge w:val="restart"/>
            <w:tcBorders>
              <w:tl2br w:val="nil"/>
              <w:tr2bl w:val="nil"/>
            </w:tcBorders>
            <w:vAlign w:val="center"/>
          </w:tcPr>
          <w:p w14:paraId="79AC52D6">
            <w:pPr>
              <w:adjustRightInd w:val="0"/>
              <w:snapToGrid w:val="0"/>
              <w:spacing w:after="0" w:line="240" w:lineRule="auto"/>
              <w:rPr>
                <w:rFonts w:ascii="宋体" w:hAnsi="宋体" w:eastAsia="宋体" w:cs="宋体"/>
                <w:b w:val="0"/>
                <w:bCs w:val="0"/>
                <w:sz w:val="21"/>
                <w:szCs w:val="21"/>
                <w:highlight w:val="none"/>
              </w:rPr>
            </w:pPr>
          </w:p>
        </w:tc>
        <w:tc>
          <w:tcPr>
            <w:tcW w:w="602" w:type="dxa"/>
            <w:vMerge w:val="restart"/>
            <w:tcBorders>
              <w:tl2br w:val="nil"/>
              <w:tr2bl w:val="nil"/>
            </w:tcBorders>
            <w:vAlign w:val="center"/>
          </w:tcPr>
          <w:p w14:paraId="5662C404">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2143" w:type="dxa"/>
            <w:gridSpan w:val="4"/>
            <w:tcBorders>
              <w:tl2br w:val="nil"/>
              <w:tr2bl w:val="nil"/>
            </w:tcBorders>
            <w:vAlign w:val="center"/>
          </w:tcPr>
          <w:p w14:paraId="1A1D885C">
            <w:pPr>
              <w:adjustRightInd w:val="0"/>
              <w:snapToGrid w:val="0"/>
              <w:spacing w:after="0" w:line="240" w:lineRule="auto"/>
              <w:rPr>
                <w:rFonts w:hint="default"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项目1：</w:t>
            </w:r>
          </w:p>
        </w:tc>
        <w:tc>
          <w:tcPr>
            <w:tcW w:w="501" w:type="dxa"/>
            <w:vMerge w:val="restart"/>
            <w:tcBorders>
              <w:tl2br w:val="nil"/>
              <w:tr2bl w:val="nil"/>
            </w:tcBorders>
            <w:vAlign w:val="center"/>
          </w:tcPr>
          <w:p w14:paraId="651B8DE5">
            <w:pPr>
              <w:adjustRightInd w:val="0"/>
              <w:snapToGrid w:val="0"/>
              <w:spacing w:after="0" w:line="240" w:lineRule="auto"/>
              <w:rPr>
                <w:rFonts w:ascii="宋体" w:hAnsi="宋体" w:eastAsia="宋体" w:cs="宋体"/>
                <w:b w:val="0"/>
                <w:bCs w:val="0"/>
                <w:sz w:val="13"/>
                <w:szCs w:val="13"/>
                <w:highlight w:val="none"/>
              </w:rPr>
            </w:pPr>
            <w:r>
              <w:rPr>
                <w:rFonts w:hint="eastAsia" w:ascii="宋体" w:hAnsi="宋体" w:eastAsia="宋体" w:cs="宋体"/>
                <w:b w:val="0"/>
                <w:bCs w:val="0"/>
                <w:sz w:val="13"/>
                <w:szCs w:val="13"/>
                <w:highlight w:val="none"/>
                <w:lang w:eastAsia="zh-CN"/>
              </w:rPr>
              <w:t>(</w:t>
            </w:r>
            <w:r>
              <w:rPr>
                <w:rFonts w:hint="eastAsia" w:ascii="宋体" w:hAnsi="宋体" w:eastAsia="宋体" w:cs="宋体"/>
                <w:b w:val="0"/>
                <w:bCs w:val="0"/>
                <w:sz w:val="13"/>
                <w:szCs w:val="13"/>
                <w:highlight w:val="none"/>
              </w:rPr>
              <w:t>4</w:t>
            </w:r>
            <w:r>
              <w:rPr>
                <w:rFonts w:hint="eastAsia" w:ascii="宋体" w:hAnsi="宋体" w:eastAsia="宋体" w:cs="宋体"/>
                <w:b w:val="0"/>
                <w:bCs w:val="0"/>
                <w:sz w:val="13"/>
                <w:szCs w:val="13"/>
                <w:highlight w:val="none"/>
                <w:lang w:eastAsia="zh-CN"/>
              </w:rPr>
              <w:t>)</w:t>
            </w:r>
          </w:p>
        </w:tc>
        <w:tc>
          <w:tcPr>
            <w:tcW w:w="584" w:type="dxa"/>
            <w:vMerge w:val="restart"/>
            <w:tcBorders>
              <w:tl2br w:val="nil"/>
              <w:tr2bl w:val="nil"/>
            </w:tcBorders>
            <w:vAlign w:val="center"/>
          </w:tcPr>
          <w:p w14:paraId="2C2D3277">
            <w:pPr>
              <w:adjustRightInd w:val="0"/>
              <w:snapToGrid w:val="0"/>
              <w:spacing w:after="0" w:line="240" w:lineRule="auto"/>
              <w:rPr>
                <w:rFonts w:hint="eastAsia" w:ascii="宋体" w:hAnsi="宋体" w:eastAsia="宋体" w:cs="宋体"/>
                <w:b w:val="0"/>
                <w:bCs w:val="0"/>
                <w:sz w:val="13"/>
                <w:szCs w:val="13"/>
                <w:highlight w:val="none"/>
              </w:rPr>
            </w:pPr>
          </w:p>
        </w:tc>
        <w:tc>
          <w:tcPr>
            <w:tcW w:w="469" w:type="dxa"/>
            <w:vMerge w:val="restart"/>
            <w:tcBorders>
              <w:tl2br w:val="nil"/>
              <w:tr2bl w:val="nil"/>
            </w:tcBorders>
            <w:noWrap/>
            <w:vAlign w:val="center"/>
          </w:tcPr>
          <w:p w14:paraId="0CA24322">
            <w:pPr>
              <w:adjustRightInd w:val="0"/>
              <w:snapToGrid w:val="0"/>
              <w:spacing w:after="0" w:line="240" w:lineRule="auto"/>
              <w:rPr>
                <w:rFonts w:ascii="宋体" w:hAnsi="宋体" w:eastAsia="宋体" w:cs="宋体"/>
                <w:b w:val="0"/>
                <w:bCs w:val="0"/>
                <w:sz w:val="15"/>
                <w:szCs w:val="15"/>
                <w:highlight w:val="none"/>
              </w:rPr>
            </w:pPr>
          </w:p>
        </w:tc>
        <w:tc>
          <w:tcPr>
            <w:tcW w:w="522" w:type="dxa"/>
            <w:vMerge w:val="restart"/>
            <w:tcBorders>
              <w:right w:val="thinThickSmallGap" w:color="000000" w:sz="12" w:space="0"/>
              <w:tl2br w:val="nil"/>
              <w:tr2bl w:val="nil"/>
            </w:tcBorders>
            <w:noWrap/>
            <w:vAlign w:val="center"/>
          </w:tcPr>
          <w:p w14:paraId="456EC264">
            <w:pPr>
              <w:adjustRightInd w:val="0"/>
              <w:snapToGrid w:val="0"/>
              <w:spacing w:after="0" w:line="240" w:lineRule="auto"/>
              <w:rPr>
                <w:rFonts w:ascii="宋体" w:hAnsi="宋体" w:eastAsia="宋体" w:cs="宋体"/>
                <w:b w:val="0"/>
                <w:bCs w:val="0"/>
                <w:sz w:val="21"/>
                <w:szCs w:val="21"/>
                <w:highlight w:val="none"/>
              </w:rPr>
            </w:pPr>
          </w:p>
        </w:tc>
      </w:tr>
      <w:tr w14:paraId="5222F9E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55" w:type="dxa"/>
            <w:gridSpan w:val="2"/>
            <w:vMerge w:val="continue"/>
            <w:tcBorders>
              <w:left w:val="thinThickSmallGap" w:color="000000" w:sz="12" w:space="0"/>
              <w:tl2br w:val="nil"/>
              <w:tr2bl w:val="nil"/>
            </w:tcBorders>
            <w:vAlign w:val="center"/>
          </w:tcPr>
          <w:p w14:paraId="372074A7">
            <w:pPr>
              <w:adjustRightInd w:val="0"/>
              <w:snapToGrid w:val="0"/>
              <w:spacing w:after="0" w:line="240" w:lineRule="auto"/>
              <w:rPr>
                <w:highlight w:val="none"/>
              </w:rPr>
            </w:pPr>
          </w:p>
        </w:tc>
        <w:tc>
          <w:tcPr>
            <w:tcW w:w="404" w:type="dxa"/>
            <w:vMerge w:val="continue"/>
            <w:tcBorders>
              <w:tl2br w:val="nil"/>
              <w:tr2bl w:val="nil"/>
            </w:tcBorders>
            <w:vAlign w:val="center"/>
          </w:tcPr>
          <w:p w14:paraId="244563B2">
            <w:pPr>
              <w:adjustRightInd w:val="0"/>
              <w:snapToGrid w:val="0"/>
              <w:spacing w:after="0" w:line="240" w:lineRule="auto"/>
              <w:rPr>
                <w:highlight w:val="none"/>
              </w:rPr>
            </w:pPr>
          </w:p>
        </w:tc>
        <w:tc>
          <w:tcPr>
            <w:tcW w:w="1426" w:type="dxa"/>
            <w:vMerge w:val="continue"/>
            <w:tcBorders>
              <w:tl2br w:val="nil"/>
              <w:tr2bl w:val="nil"/>
            </w:tcBorders>
            <w:vAlign w:val="center"/>
          </w:tcPr>
          <w:p w14:paraId="4503F525">
            <w:pPr>
              <w:adjustRightInd w:val="0"/>
              <w:snapToGrid w:val="0"/>
              <w:spacing w:after="0" w:line="240" w:lineRule="auto"/>
              <w:rPr>
                <w:highlight w:val="none"/>
              </w:rPr>
            </w:pPr>
          </w:p>
        </w:tc>
        <w:tc>
          <w:tcPr>
            <w:tcW w:w="651" w:type="dxa"/>
            <w:vMerge w:val="continue"/>
            <w:tcBorders>
              <w:tl2br w:val="nil"/>
              <w:tr2bl w:val="nil"/>
            </w:tcBorders>
            <w:vAlign w:val="center"/>
          </w:tcPr>
          <w:p w14:paraId="6191F6CA">
            <w:pPr>
              <w:adjustRightInd w:val="0"/>
              <w:snapToGrid w:val="0"/>
              <w:spacing w:after="0" w:line="240" w:lineRule="auto"/>
              <w:rPr>
                <w:highlight w:val="none"/>
              </w:rPr>
            </w:pPr>
          </w:p>
        </w:tc>
        <w:tc>
          <w:tcPr>
            <w:tcW w:w="413" w:type="dxa"/>
            <w:vMerge w:val="continue"/>
            <w:tcBorders>
              <w:tl2br w:val="nil"/>
              <w:tr2bl w:val="nil"/>
            </w:tcBorders>
            <w:vAlign w:val="center"/>
          </w:tcPr>
          <w:p w14:paraId="3B515FD8">
            <w:pPr>
              <w:adjustRightInd w:val="0"/>
              <w:snapToGrid w:val="0"/>
              <w:spacing w:after="0" w:line="240" w:lineRule="auto"/>
              <w:rPr>
                <w:highlight w:val="none"/>
              </w:rPr>
            </w:pPr>
          </w:p>
        </w:tc>
        <w:tc>
          <w:tcPr>
            <w:tcW w:w="581" w:type="dxa"/>
            <w:vMerge w:val="continue"/>
            <w:tcBorders>
              <w:tl2br w:val="nil"/>
              <w:tr2bl w:val="nil"/>
            </w:tcBorders>
            <w:vAlign w:val="center"/>
          </w:tcPr>
          <w:p w14:paraId="3473A2CD">
            <w:pPr>
              <w:adjustRightInd w:val="0"/>
              <w:snapToGrid w:val="0"/>
              <w:spacing w:after="0" w:line="240" w:lineRule="auto"/>
              <w:rPr>
                <w:highlight w:val="none"/>
              </w:rPr>
            </w:pPr>
          </w:p>
        </w:tc>
        <w:tc>
          <w:tcPr>
            <w:tcW w:w="619" w:type="dxa"/>
            <w:vMerge w:val="continue"/>
            <w:tcBorders>
              <w:tl2br w:val="nil"/>
              <w:tr2bl w:val="nil"/>
            </w:tcBorders>
            <w:vAlign w:val="center"/>
          </w:tcPr>
          <w:p w14:paraId="39B93652">
            <w:pPr>
              <w:adjustRightInd w:val="0"/>
              <w:snapToGrid w:val="0"/>
              <w:spacing w:after="0" w:line="240" w:lineRule="auto"/>
              <w:rPr>
                <w:highlight w:val="none"/>
              </w:rPr>
            </w:pPr>
          </w:p>
        </w:tc>
        <w:tc>
          <w:tcPr>
            <w:tcW w:w="602" w:type="dxa"/>
            <w:vMerge w:val="continue"/>
            <w:tcBorders>
              <w:tl2br w:val="nil"/>
              <w:tr2bl w:val="nil"/>
            </w:tcBorders>
            <w:vAlign w:val="center"/>
          </w:tcPr>
          <w:p w14:paraId="0C10F13E">
            <w:pPr>
              <w:adjustRightInd w:val="0"/>
              <w:snapToGrid w:val="0"/>
              <w:spacing w:after="0" w:line="240" w:lineRule="auto"/>
              <w:rPr>
                <w:highlight w:val="none"/>
              </w:rPr>
            </w:pPr>
          </w:p>
        </w:tc>
        <w:tc>
          <w:tcPr>
            <w:tcW w:w="2143" w:type="dxa"/>
            <w:gridSpan w:val="4"/>
            <w:tcBorders>
              <w:tl2br w:val="nil"/>
              <w:tr2bl w:val="nil"/>
            </w:tcBorders>
            <w:vAlign w:val="center"/>
          </w:tcPr>
          <w:p w14:paraId="50AE048A">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项目2：</w:t>
            </w:r>
          </w:p>
        </w:tc>
        <w:tc>
          <w:tcPr>
            <w:tcW w:w="501" w:type="dxa"/>
            <w:vMerge w:val="continue"/>
            <w:tcBorders>
              <w:tl2br w:val="nil"/>
              <w:tr2bl w:val="nil"/>
            </w:tcBorders>
            <w:vAlign w:val="center"/>
          </w:tcPr>
          <w:p w14:paraId="165EE246">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69EDA914">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6965ABB7">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79B1BE9">
            <w:pPr>
              <w:adjustRightInd w:val="0"/>
              <w:snapToGrid w:val="0"/>
              <w:spacing w:after="0" w:line="240" w:lineRule="auto"/>
              <w:rPr>
                <w:rFonts w:ascii="宋体" w:hAnsi="宋体" w:eastAsia="宋体" w:cs="宋体"/>
                <w:b w:val="0"/>
                <w:bCs w:val="0"/>
                <w:sz w:val="21"/>
                <w:szCs w:val="21"/>
                <w:highlight w:val="none"/>
              </w:rPr>
            </w:pPr>
          </w:p>
        </w:tc>
      </w:tr>
      <w:tr w14:paraId="7C75F12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355" w:type="dxa"/>
            <w:gridSpan w:val="2"/>
            <w:vMerge w:val="continue"/>
            <w:tcBorders>
              <w:left w:val="thinThickSmallGap" w:color="000000" w:sz="12" w:space="0"/>
              <w:tl2br w:val="nil"/>
              <w:tr2bl w:val="nil"/>
            </w:tcBorders>
            <w:vAlign w:val="center"/>
          </w:tcPr>
          <w:p w14:paraId="5EC24663">
            <w:pPr>
              <w:adjustRightInd w:val="0"/>
              <w:snapToGrid w:val="0"/>
              <w:spacing w:after="0" w:line="240" w:lineRule="auto"/>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25AFEEE3">
            <w:pPr>
              <w:adjustRightInd w:val="0"/>
              <w:snapToGrid w:val="0"/>
              <w:spacing w:after="0" w:line="240" w:lineRule="auto"/>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1FDFE1E6">
            <w:pPr>
              <w:adjustRightInd w:val="0"/>
              <w:snapToGrid w:val="0"/>
              <w:spacing w:after="0" w:line="240" w:lineRule="auto"/>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5832E121">
            <w:pPr>
              <w:adjustRightInd w:val="0"/>
              <w:snapToGrid w:val="0"/>
              <w:spacing w:after="0" w:line="240" w:lineRule="auto"/>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0871D1A6">
            <w:pPr>
              <w:adjustRightInd w:val="0"/>
              <w:snapToGrid w:val="0"/>
              <w:spacing w:after="0" w:line="240" w:lineRule="auto"/>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2A6B3A5A">
            <w:pPr>
              <w:adjustRightInd w:val="0"/>
              <w:snapToGrid w:val="0"/>
              <w:spacing w:after="0" w:line="240" w:lineRule="auto"/>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1292B1ED">
            <w:pPr>
              <w:adjustRightInd w:val="0"/>
              <w:snapToGrid w:val="0"/>
              <w:spacing w:after="0" w:line="240" w:lineRule="auto"/>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7672EB29">
            <w:pPr>
              <w:adjustRightInd w:val="0"/>
              <w:snapToGrid w:val="0"/>
              <w:spacing w:after="0" w:line="240" w:lineRule="auto"/>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3C1616F">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项目3：</w:t>
            </w:r>
          </w:p>
        </w:tc>
        <w:tc>
          <w:tcPr>
            <w:tcW w:w="501" w:type="dxa"/>
            <w:vMerge w:val="continue"/>
            <w:tcBorders>
              <w:tl2br w:val="nil"/>
              <w:tr2bl w:val="nil"/>
            </w:tcBorders>
            <w:vAlign w:val="center"/>
          </w:tcPr>
          <w:p w14:paraId="4A2E8D87">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2F69E490">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122C210C">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A93BE61">
            <w:pPr>
              <w:adjustRightInd w:val="0"/>
              <w:snapToGrid w:val="0"/>
              <w:spacing w:after="0" w:line="240" w:lineRule="auto"/>
              <w:rPr>
                <w:rFonts w:ascii="宋体" w:hAnsi="宋体" w:eastAsia="宋体" w:cs="宋体"/>
                <w:b w:val="0"/>
                <w:bCs w:val="0"/>
                <w:sz w:val="21"/>
                <w:szCs w:val="21"/>
                <w:highlight w:val="none"/>
              </w:rPr>
            </w:pPr>
          </w:p>
        </w:tc>
      </w:tr>
      <w:tr w14:paraId="61F5D0B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355" w:type="dxa"/>
            <w:gridSpan w:val="2"/>
            <w:vMerge w:val="continue"/>
            <w:tcBorders>
              <w:left w:val="thinThickSmallGap" w:color="000000" w:sz="12" w:space="0"/>
              <w:tl2br w:val="nil"/>
              <w:tr2bl w:val="nil"/>
            </w:tcBorders>
            <w:vAlign w:val="center"/>
          </w:tcPr>
          <w:p w14:paraId="0838308C">
            <w:pPr>
              <w:adjustRightInd w:val="0"/>
              <w:snapToGrid w:val="0"/>
              <w:spacing w:after="0" w:line="240" w:lineRule="auto"/>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16162636">
            <w:pPr>
              <w:adjustRightInd w:val="0"/>
              <w:snapToGrid w:val="0"/>
              <w:spacing w:after="0" w:line="240" w:lineRule="auto"/>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264D3EF8">
            <w:pPr>
              <w:adjustRightInd w:val="0"/>
              <w:snapToGrid w:val="0"/>
              <w:spacing w:after="0" w:line="240" w:lineRule="auto"/>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1ECCC737">
            <w:pPr>
              <w:adjustRightInd w:val="0"/>
              <w:snapToGrid w:val="0"/>
              <w:spacing w:after="0" w:line="240" w:lineRule="auto"/>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26AB76C3">
            <w:pPr>
              <w:adjustRightInd w:val="0"/>
              <w:snapToGrid w:val="0"/>
              <w:spacing w:after="0" w:line="240" w:lineRule="auto"/>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196EFAB9">
            <w:pPr>
              <w:adjustRightInd w:val="0"/>
              <w:snapToGrid w:val="0"/>
              <w:spacing w:after="0" w:line="240" w:lineRule="auto"/>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5F900372">
            <w:pPr>
              <w:adjustRightInd w:val="0"/>
              <w:snapToGrid w:val="0"/>
              <w:spacing w:after="0" w:line="240" w:lineRule="auto"/>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55A30188">
            <w:pPr>
              <w:adjustRightInd w:val="0"/>
              <w:snapToGrid w:val="0"/>
              <w:spacing w:after="0" w:line="240" w:lineRule="auto"/>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6DCDAA12">
            <w:pPr>
              <w:adjustRightInd w:val="0"/>
              <w:snapToGrid w:val="0"/>
              <w:spacing w:after="0" w:line="240" w:lineRule="auto"/>
              <w:rPr>
                <w:rFonts w:ascii="宋体" w:hAnsi="宋体" w:eastAsia="宋体" w:cs="宋体"/>
                <w:b/>
                <w:bCs/>
                <w:sz w:val="15"/>
                <w:szCs w:val="15"/>
                <w:highlight w:val="none"/>
              </w:rPr>
            </w:pPr>
            <w:r>
              <w:rPr>
                <w:rFonts w:hint="eastAsia" w:ascii="宋体" w:hAnsi="宋体" w:eastAsia="宋体" w:cs="宋体"/>
                <w:b/>
                <w:bCs/>
                <w:sz w:val="15"/>
                <w:szCs w:val="15"/>
                <w:highlight w:val="none"/>
                <w:lang w:val="en-US" w:eastAsia="zh-CN"/>
              </w:rPr>
              <w:t>项目4：</w:t>
            </w:r>
          </w:p>
        </w:tc>
        <w:tc>
          <w:tcPr>
            <w:tcW w:w="501" w:type="dxa"/>
            <w:vMerge w:val="continue"/>
            <w:tcBorders>
              <w:tl2br w:val="nil"/>
              <w:tr2bl w:val="nil"/>
            </w:tcBorders>
            <w:vAlign w:val="center"/>
          </w:tcPr>
          <w:p w14:paraId="3A2BF994">
            <w:pPr>
              <w:adjustRightInd w:val="0"/>
              <w:snapToGrid w:val="0"/>
              <w:spacing w:after="0" w:line="240" w:lineRule="auto"/>
              <w:rPr>
                <w:rFonts w:ascii="宋体" w:hAnsi="宋体" w:eastAsia="宋体" w:cs="宋体"/>
                <w:b w:val="0"/>
                <w:bCs w:val="0"/>
                <w:sz w:val="21"/>
                <w:szCs w:val="21"/>
                <w:highlight w:val="none"/>
              </w:rPr>
            </w:pPr>
          </w:p>
        </w:tc>
        <w:tc>
          <w:tcPr>
            <w:tcW w:w="584" w:type="dxa"/>
            <w:vMerge w:val="continue"/>
            <w:tcBorders>
              <w:tl2br w:val="nil"/>
              <w:tr2bl w:val="nil"/>
            </w:tcBorders>
            <w:vAlign w:val="center"/>
          </w:tcPr>
          <w:p w14:paraId="01498422">
            <w:pPr>
              <w:adjustRightInd w:val="0"/>
              <w:snapToGrid w:val="0"/>
              <w:spacing w:after="0" w:line="240" w:lineRule="auto"/>
              <w:rPr>
                <w:rFonts w:ascii="宋体" w:hAnsi="宋体" w:eastAsia="宋体" w:cs="宋体"/>
                <w:b w:val="0"/>
                <w:bCs w:val="0"/>
                <w:sz w:val="21"/>
                <w:szCs w:val="21"/>
                <w:highlight w:val="none"/>
              </w:rPr>
            </w:pPr>
          </w:p>
        </w:tc>
        <w:tc>
          <w:tcPr>
            <w:tcW w:w="469" w:type="dxa"/>
            <w:vMerge w:val="continue"/>
            <w:tcBorders>
              <w:tl2br w:val="nil"/>
              <w:tr2bl w:val="nil"/>
            </w:tcBorders>
            <w:noWrap/>
            <w:vAlign w:val="center"/>
          </w:tcPr>
          <w:p w14:paraId="1AF9C1FD">
            <w:pPr>
              <w:adjustRightInd w:val="0"/>
              <w:snapToGrid w:val="0"/>
              <w:spacing w:after="0" w:line="240" w:lineRule="auto"/>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5C1E7F6B">
            <w:pPr>
              <w:adjustRightInd w:val="0"/>
              <w:snapToGrid w:val="0"/>
              <w:spacing w:after="0" w:line="240" w:lineRule="auto"/>
              <w:rPr>
                <w:rFonts w:ascii="宋体" w:hAnsi="宋体" w:eastAsia="宋体" w:cs="宋体"/>
                <w:b w:val="0"/>
                <w:bCs w:val="0"/>
                <w:sz w:val="21"/>
                <w:szCs w:val="21"/>
                <w:highlight w:val="none"/>
              </w:rPr>
            </w:pPr>
          </w:p>
        </w:tc>
      </w:tr>
      <w:tr w14:paraId="3195D3B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55" w:type="dxa"/>
            <w:gridSpan w:val="2"/>
            <w:vMerge w:val="continue"/>
            <w:tcBorders>
              <w:left w:val="thinThickSmallGap" w:color="000000" w:sz="12" w:space="0"/>
              <w:tl2br w:val="nil"/>
              <w:tr2bl w:val="nil"/>
            </w:tcBorders>
            <w:vAlign w:val="center"/>
          </w:tcPr>
          <w:p w14:paraId="1FDC6633">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110DAD8C">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000A293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岗位实习</w:t>
            </w:r>
          </w:p>
        </w:tc>
        <w:tc>
          <w:tcPr>
            <w:tcW w:w="651" w:type="dxa"/>
            <w:tcBorders>
              <w:tl2br w:val="nil"/>
              <w:tr2bl w:val="nil"/>
            </w:tcBorders>
            <w:vAlign w:val="center"/>
          </w:tcPr>
          <w:p w14:paraId="70E9E547">
            <w:pPr>
              <w:adjustRightInd w:val="0"/>
              <w:snapToGrid w:val="0"/>
              <w:spacing w:after="0" w:line="240" w:lineRule="auto"/>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413" w:type="dxa"/>
            <w:tcBorders>
              <w:tl2br w:val="nil"/>
              <w:tr2bl w:val="nil"/>
            </w:tcBorders>
            <w:vAlign w:val="center"/>
          </w:tcPr>
          <w:p w14:paraId="3585651A">
            <w:pPr>
              <w:adjustRightInd w:val="0"/>
              <w:snapToGrid w:val="0"/>
              <w:spacing w:after="0" w:line="240" w:lineRule="auto"/>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24</w:t>
            </w:r>
          </w:p>
        </w:tc>
        <w:tc>
          <w:tcPr>
            <w:tcW w:w="581" w:type="dxa"/>
            <w:tcBorders>
              <w:tl2br w:val="nil"/>
              <w:tr2bl w:val="nil"/>
            </w:tcBorders>
            <w:vAlign w:val="center"/>
          </w:tcPr>
          <w:p w14:paraId="5F29C132">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416CE444">
            <w:pPr>
              <w:adjustRightInd w:val="0"/>
              <w:snapToGrid w:val="0"/>
              <w:spacing w:after="0" w:line="240" w:lineRule="auto"/>
              <w:rPr>
                <w:rFonts w:ascii="宋体" w:hAnsi="宋体" w:eastAsia="宋体" w:cs="宋体"/>
                <w:b w:val="0"/>
                <w:bCs w:val="0"/>
                <w:sz w:val="18"/>
                <w:szCs w:val="18"/>
                <w:highlight w:val="none"/>
              </w:rPr>
            </w:pPr>
          </w:p>
        </w:tc>
        <w:tc>
          <w:tcPr>
            <w:tcW w:w="602" w:type="dxa"/>
            <w:tcBorders>
              <w:tl2br w:val="nil"/>
              <w:tr2bl w:val="nil"/>
            </w:tcBorders>
            <w:vAlign w:val="center"/>
          </w:tcPr>
          <w:p w14:paraId="4A4AECD2">
            <w:pPr>
              <w:adjustRightInd w:val="0"/>
              <w:snapToGrid w:val="0"/>
              <w:spacing w:after="0" w:line="240" w:lineRule="auto"/>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569" w:type="dxa"/>
            <w:tcBorders>
              <w:tl2br w:val="nil"/>
              <w:tr2bl w:val="nil"/>
            </w:tcBorders>
            <w:vAlign w:val="center"/>
          </w:tcPr>
          <w:p w14:paraId="18E9FD91">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vAlign w:val="center"/>
          </w:tcPr>
          <w:p w14:paraId="67D1119E">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66D83CDE">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79A6DEB0">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143E116E">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1"/>
                <w:szCs w:val="11"/>
                <w:highlight w:val="none"/>
                <w:lang w:eastAsia="zh-CN"/>
              </w:rPr>
              <w:t>(</w:t>
            </w:r>
            <w:r>
              <w:rPr>
                <w:rFonts w:hint="eastAsia" w:ascii="宋体" w:hAnsi="宋体" w:eastAsia="宋体" w:cs="宋体"/>
                <w:sz w:val="11"/>
                <w:szCs w:val="11"/>
                <w:highlight w:val="none"/>
                <w:lang w:val="en-US" w:eastAsia="zh-CN"/>
              </w:rPr>
              <w:t>10)</w:t>
            </w:r>
          </w:p>
        </w:tc>
        <w:tc>
          <w:tcPr>
            <w:tcW w:w="584" w:type="dxa"/>
            <w:tcBorders>
              <w:tl2br w:val="nil"/>
              <w:tr2bl w:val="nil"/>
            </w:tcBorders>
            <w:vAlign w:val="center"/>
          </w:tcPr>
          <w:p w14:paraId="38F94C48">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14)</w:t>
            </w:r>
          </w:p>
        </w:tc>
        <w:tc>
          <w:tcPr>
            <w:tcW w:w="469" w:type="dxa"/>
            <w:tcBorders>
              <w:tl2br w:val="nil"/>
              <w:tr2bl w:val="nil"/>
            </w:tcBorders>
            <w:noWrap/>
            <w:vAlign w:val="center"/>
          </w:tcPr>
          <w:p w14:paraId="343E82F5">
            <w:pPr>
              <w:adjustRightInd w:val="0"/>
              <w:snapToGrid w:val="0"/>
              <w:spacing w:after="0" w:line="240" w:lineRule="auto"/>
              <w:rPr>
                <w:rFonts w:ascii="宋体" w:hAnsi="宋体" w:eastAsia="宋体" w:cs="宋体"/>
                <w:sz w:val="15"/>
                <w:szCs w:val="15"/>
                <w:highlight w:val="none"/>
              </w:rPr>
            </w:pPr>
          </w:p>
        </w:tc>
        <w:tc>
          <w:tcPr>
            <w:tcW w:w="522" w:type="dxa"/>
            <w:tcBorders>
              <w:right w:val="thinThickSmallGap" w:color="000000" w:sz="12" w:space="0"/>
              <w:tl2br w:val="nil"/>
              <w:tr2bl w:val="nil"/>
            </w:tcBorders>
            <w:noWrap/>
            <w:vAlign w:val="center"/>
          </w:tcPr>
          <w:p w14:paraId="34DC4408">
            <w:pPr>
              <w:adjustRightInd w:val="0"/>
              <w:snapToGrid w:val="0"/>
              <w:spacing w:after="0" w:line="240" w:lineRule="auto"/>
              <w:rPr>
                <w:rFonts w:ascii="宋体" w:hAnsi="宋体" w:eastAsia="宋体" w:cs="宋体"/>
                <w:sz w:val="21"/>
                <w:szCs w:val="21"/>
                <w:highlight w:val="none"/>
              </w:rPr>
            </w:pPr>
          </w:p>
        </w:tc>
      </w:tr>
      <w:tr w14:paraId="43BD9DA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29B4DFC4">
            <w:pPr>
              <w:adjustRightInd w:val="0"/>
              <w:snapToGrid w:val="0"/>
              <w:spacing w:after="0" w:line="240" w:lineRule="auto"/>
              <w:rPr>
                <w:rFonts w:ascii="宋体" w:hAnsi="宋体" w:eastAsia="宋体" w:cs="宋体"/>
                <w:sz w:val="21"/>
                <w:szCs w:val="21"/>
                <w:highlight w:val="none"/>
              </w:rPr>
            </w:pPr>
          </w:p>
        </w:tc>
        <w:tc>
          <w:tcPr>
            <w:tcW w:w="404" w:type="dxa"/>
            <w:vMerge w:val="continue"/>
            <w:tcBorders>
              <w:tl2br w:val="nil"/>
              <w:tr2bl w:val="nil"/>
            </w:tcBorders>
            <w:vAlign w:val="center"/>
          </w:tcPr>
          <w:p w14:paraId="47B2A704">
            <w:pPr>
              <w:adjustRightInd w:val="0"/>
              <w:snapToGrid w:val="0"/>
              <w:spacing w:after="0" w:line="240" w:lineRule="auto"/>
              <w:rPr>
                <w:rFonts w:ascii="宋体" w:hAnsi="宋体" w:eastAsia="宋体" w:cs="宋体"/>
                <w:sz w:val="21"/>
                <w:szCs w:val="21"/>
                <w:highlight w:val="none"/>
              </w:rPr>
            </w:pPr>
          </w:p>
        </w:tc>
        <w:tc>
          <w:tcPr>
            <w:tcW w:w="1426" w:type="dxa"/>
            <w:tcBorders>
              <w:tl2br w:val="nil"/>
              <w:tr2bl w:val="nil"/>
            </w:tcBorders>
            <w:vAlign w:val="center"/>
          </w:tcPr>
          <w:p w14:paraId="6F1CA2E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毕业（论文）设计</w:t>
            </w:r>
          </w:p>
        </w:tc>
        <w:tc>
          <w:tcPr>
            <w:tcW w:w="651" w:type="dxa"/>
            <w:tcBorders>
              <w:tl2br w:val="nil"/>
              <w:tr2bl w:val="nil"/>
            </w:tcBorders>
            <w:vAlign w:val="center"/>
          </w:tcPr>
          <w:p w14:paraId="6977F966">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4A086B08">
            <w:pPr>
              <w:adjustRightInd w:val="0"/>
              <w:snapToGrid w:val="0"/>
              <w:spacing w:after="0" w:line="240" w:lineRule="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4D905EE">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7D11A658">
            <w:pPr>
              <w:adjustRightInd w:val="0"/>
              <w:snapToGrid w:val="0"/>
              <w:spacing w:after="0" w:line="240" w:lineRule="auto"/>
              <w:rPr>
                <w:rFonts w:ascii="宋体" w:hAnsi="宋体" w:eastAsia="宋体" w:cs="宋体"/>
                <w:b w:val="0"/>
                <w:bCs w:val="0"/>
                <w:sz w:val="21"/>
                <w:szCs w:val="21"/>
                <w:highlight w:val="none"/>
              </w:rPr>
            </w:pPr>
          </w:p>
        </w:tc>
        <w:tc>
          <w:tcPr>
            <w:tcW w:w="602" w:type="dxa"/>
            <w:tcBorders>
              <w:tl2br w:val="nil"/>
              <w:tr2bl w:val="nil"/>
            </w:tcBorders>
            <w:vAlign w:val="center"/>
          </w:tcPr>
          <w:p w14:paraId="15CFA128">
            <w:pPr>
              <w:adjustRightInd w:val="0"/>
              <w:snapToGrid w:val="0"/>
              <w:spacing w:after="0" w:line="240" w:lineRule="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5B4D411C">
            <w:pPr>
              <w:adjustRightInd w:val="0"/>
              <w:snapToGrid w:val="0"/>
              <w:spacing w:after="0" w:line="240" w:lineRule="auto"/>
              <w:rPr>
                <w:rFonts w:ascii="宋体" w:hAnsi="宋体" w:eastAsia="宋体" w:cs="宋体"/>
                <w:b/>
                <w:bCs/>
                <w:sz w:val="15"/>
                <w:szCs w:val="15"/>
                <w:highlight w:val="none"/>
              </w:rPr>
            </w:pPr>
          </w:p>
        </w:tc>
        <w:tc>
          <w:tcPr>
            <w:tcW w:w="504" w:type="dxa"/>
            <w:tcBorders>
              <w:tl2br w:val="nil"/>
              <w:tr2bl w:val="nil"/>
            </w:tcBorders>
            <w:vAlign w:val="center"/>
          </w:tcPr>
          <w:p w14:paraId="2A2F7CF4">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4916D5A5">
            <w:pPr>
              <w:adjustRightInd w:val="0"/>
              <w:snapToGrid w:val="0"/>
              <w:spacing w:after="0" w:line="240" w:lineRule="auto"/>
              <w:rPr>
                <w:rFonts w:ascii="宋体" w:hAnsi="宋体" w:eastAsia="宋体" w:cs="宋体"/>
                <w:b/>
                <w:bCs/>
                <w:sz w:val="15"/>
                <w:szCs w:val="15"/>
                <w:highlight w:val="none"/>
              </w:rPr>
            </w:pPr>
          </w:p>
        </w:tc>
        <w:tc>
          <w:tcPr>
            <w:tcW w:w="535" w:type="dxa"/>
            <w:tcBorders>
              <w:tl2br w:val="nil"/>
              <w:tr2bl w:val="nil"/>
            </w:tcBorders>
            <w:vAlign w:val="center"/>
          </w:tcPr>
          <w:p w14:paraId="29F3BEAD">
            <w:pPr>
              <w:adjustRightInd w:val="0"/>
              <w:snapToGrid w:val="0"/>
              <w:spacing w:after="0" w:line="240" w:lineRule="auto"/>
              <w:rPr>
                <w:rFonts w:ascii="宋体" w:hAnsi="宋体" w:eastAsia="宋体" w:cs="宋体"/>
                <w:b/>
                <w:bCs/>
                <w:sz w:val="15"/>
                <w:szCs w:val="15"/>
                <w:highlight w:val="none"/>
              </w:rPr>
            </w:pPr>
          </w:p>
        </w:tc>
        <w:tc>
          <w:tcPr>
            <w:tcW w:w="501" w:type="dxa"/>
            <w:tcBorders>
              <w:tl2br w:val="nil"/>
              <w:tr2bl w:val="nil"/>
            </w:tcBorders>
            <w:vAlign w:val="center"/>
          </w:tcPr>
          <w:p w14:paraId="3405A891">
            <w:pPr>
              <w:adjustRightInd w:val="0"/>
              <w:snapToGrid w:val="0"/>
              <w:spacing w:after="0" w:line="240" w:lineRule="auto"/>
              <w:rPr>
                <w:rFonts w:ascii="宋体" w:hAnsi="宋体" w:eastAsia="宋体" w:cs="宋体"/>
                <w:sz w:val="13"/>
                <w:szCs w:val="13"/>
                <w:highlight w:val="none"/>
              </w:rPr>
            </w:pPr>
          </w:p>
        </w:tc>
        <w:tc>
          <w:tcPr>
            <w:tcW w:w="584" w:type="dxa"/>
            <w:tcBorders>
              <w:tl2br w:val="nil"/>
              <w:tr2bl w:val="nil"/>
            </w:tcBorders>
            <w:vAlign w:val="center"/>
          </w:tcPr>
          <w:p w14:paraId="1BB00FCA">
            <w:pPr>
              <w:adjustRightInd w:val="0"/>
              <w:snapToGrid w:val="0"/>
              <w:spacing w:after="0" w:line="240" w:lineRule="auto"/>
              <w:rPr>
                <w:rFonts w:ascii="宋体" w:hAnsi="宋体" w:eastAsia="宋体" w:cs="宋体"/>
                <w:sz w:val="13"/>
                <w:szCs w:val="13"/>
                <w:highlight w:val="none"/>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rPr>
              <w:t>4</w:t>
            </w:r>
            <w:r>
              <w:rPr>
                <w:rFonts w:hint="eastAsia" w:ascii="宋体" w:hAnsi="宋体" w:eastAsia="宋体" w:cs="宋体"/>
                <w:sz w:val="13"/>
                <w:szCs w:val="13"/>
                <w:highlight w:val="none"/>
                <w:lang w:eastAsia="zh-CN"/>
              </w:rPr>
              <w:t>)</w:t>
            </w:r>
          </w:p>
        </w:tc>
        <w:tc>
          <w:tcPr>
            <w:tcW w:w="469" w:type="dxa"/>
            <w:tcBorders>
              <w:tl2br w:val="nil"/>
              <w:tr2bl w:val="nil"/>
            </w:tcBorders>
            <w:noWrap/>
            <w:vAlign w:val="center"/>
          </w:tcPr>
          <w:p w14:paraId="4B866831">
            <w:pPr>
              <w:adjustRightInd w:val="0"/>
              <w:snapToGrid w:val="0"/>
              <w:spacing w:after="0" w:line="240" w:lineRule="auto"/>
              <w:rPr>
                <w:rFonts w:ascii="宋体" w:hAnsi="宋体" w:eastAsia="宋体" w:cs="宋体"/>
                <w:sz w:val="15"/>
                <w:szCs w:val="15"/>
                <w:highlight w:val="none"/>
              </w:rPr>
            </w:pPr>
          </w:p>
        </w:tc>
        <w:tc>
          <w:tcPr>
            <w:tcW w:w="522" w:type="dxa"/>
            <w:tcBorders>
              <w:right w:val="thinThickSmallGap" w:color="000000" w:sz="12" w:space="0"/>
              <w:tl2br w:val="nil"/>
              <w:tr2bl w:val="nil"/>
            </w:tcBorders>
            <w:vAlign w:val="center"/>
          </w:tcPr>
          <w:p w14:paraId="57DEAD2C">
            <w:pPr>
              <w:adjustRightInd w:val="0"/>
              <w:snapToGrid w:val="0"/>
              <w:spacing w:after="0" w:line="240" w:lineRule="auto"/>
              <w:rPr>
                <w:rFonts w:ascii="宋体" w:hAnsi="宋体" w:eastAsia="宋体" w:cs="宋体"/>
                <w:sz w:val="21"/>
                <w:szCs w:val="21"/>
                <w:highlight w:val="none"/>
              </w:rPr>
            </w:pPr>
          </w:p>
        </w:tc>
      </w:tr>
      <w:tr w14:paraId="2250C1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5AD6BD61">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50B3DF50">
            <w:pPr>
              <w:adjustRightInd w:val="0"/>
              <w:snapToGrid w:val="0"/>
              <w:spacing w:after="0" w:line="240" w:lineRule="auto"/>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540</w:t>
            </w:r>
          </w:p>
        </w:tc>
        <w:tc>
          <w:tcPr>
            <w:tcW w:w="413" w:type="dxa"/>
            <w:tcBorders>
              <w:tl2br w:val="nil"/>
              <w:tr2bl w:val="nil"/>
            </w:tcBorders>
            <w:vAlign w:val="center"/>
          </w:tcPr>
          <w:p w14:paraId="3E062DA6">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8"/>
                <w:szCs w:val="18"/>
                <w:highlight w:val="none"/>
                <w:lang w:val="en-US" w:eastAsia="zh-CN"/>
              </w:rPr>
              <w:t>34</w:t>
            </w:r>
            <w:r>
              <w:rPr>
                <w:rFonts w:hint="eastAsia" w:ascii="宋体" w:hAnsi="宋体" w:eastAsia="宋体" w:cs="宋体"/>
                <w:sz w:val="18"/>
                <w:szCs w:val="18"/>
                <w:highlight w:val="none"/>
              </w:rPr>
              <w:t xml:space="preserve"> </w:t>
            </w:r>
          </w:p>
        </w:tc>
        <w:tc>
          <w:tcPr>
            <w:tcW w:w="581" w:type="dxa"/>
            <w:tcBorders>
              <w:tl2br w:val="nil"/>
              <w:tr2bl w:val="nil"/>
            </w:tcBorders>
            <w:vAlign w:val="center"/>
          </w:tcPr>
          <w:p w14:paraId="6362A84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60</w:t>
            </w:r>
          </w:p>
        </w:tc>
        <w:tc>
          <w:tcPr>
            <w:tcW w:w="619" w:type="dxa"/>
            <w:tcBorders>
              <w:tl2br w:val="nil"/>
              <w:tr2bl w:val="nil"/>
            </w:tcBorders>
            <w:vAlign w:val="center"/>
          </w:tcPr>
          <w:p w14:paraId="3F6DBC6C">
            <w:pPr>
              <w:adjustRightInd w:val="0"/>
              <w:snapToGrid w:val="0"/>
              <w:spacing w:after="0" w:line="240" w:lineRule="auto"/>
              <w:rPr>
                <w:rFonts w:ascii="宋体" w:hAnsi="宋体" w:eastAsia="宋体" w:cs="宋体"/>
                <w:sz w:val="21"/>
                <w:szCs w:val="21"/>
                <w:highlight w:val="none"/>
              </w:rPr>
            </w:pPr>
          </w:p>
        </w:tc>
        <w:tc>
          <w:tcPr>
            <w:tcW w:w="602" w:type="dxa"/>
            <w:tcBorders>
              <w:tl2br w:val="nil"/>
              <w:tr2bl w:val="nil"/>
            </w:tcBorders>
            <w:vAlign w:val="center"/>
          </w:tcPr>
          <w:p w14:paraId="3CC28F88">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540</w:t>
            </w:r>
          </w:p>
        </w:tc>
        <w:tc>
          <w:tcPr>
            <w:tcW w:w="569" w:type="dxa"/>
            <w:tcBorders>
              <w:tl2br w:val="nil"/>
              <w:tr2bl w:val="nil"/>
            </w:tcBorders>
            <w:vAlign w:val="center"/>
          </w:tcPr>
          <w:p w14:paraId="08F3F484">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26</w:t>
            </w:r>
          </w:p>
        </w:tc>
        <w:tc>
          <w:tcPr>
            <w:tcW w:w="504" w:type="dxa"/>
            <w:tcBorders>
              <w:tl2br w:val="nil"/>
              <w:tr2bl w:val="nil"/>
            </w:tcBorders>
            <w:vAlign w:val="center"/>
          </w:tcPr>
          <w:p w14:paraId="49190E5D">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35" w:type="dxa"/>
            <w:tcBorders>
              <w:tl2br w:val="nil"/>
              <w:tr2bl w:val="nil"/>
            </w:tcBorders>
            <w:vAlign w:val="center"/>
          </w:tcPr>
          <w:p w14:paraId="46E523CE">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4472DFC0">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01" w:type="dxa"/>
            <w:tcBorders>
              <w:tl2br w:val="nil"/>
              <w:tr2bl w:val="nil"/>
            </w:tcBorders>
            <w:vAlign w:val="center"/>
          </w:tcPr>
          <w:p w14:paraId="344AF13D">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1"/>
                <w:szCs w:val="11"/>
                <w:highlight w:val="none"/>
                <w:lang w:val="en-US" w:eastAsia="zh-CN"/>
              </w:rPr>
              <w:t>(18)</w:t>
            </w:r>
          </w:p>
        </w:tc>
        <w:tc>
          <w:tcPr>
            <w:tcW w:w="584" w:type="dxa"/>
            <w:tcBorders>
              <w:tl2br w:val="nil"/>
              <w:tr2bl w:val="nil"/>
            </w:tcBorders>
            <w:vAlign w:val="center"/>
          </w:tcPr>
          <w:p w14:paraId="7F2C0AAA">
            <w:pPr>
              <w:adjustRightInd w:val="0"/>
              <w:snapToGrid w:val="0"/>
              <w:spacing w:after="0" w:line="240" w:lineRule="auto"/>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58028BF2">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c>
          <w:tcPr>
            <w:tcW w:w="522" w:type="dxa"/>
            <w:tcBorders>
              <w:right w:val="thinThickSmallGap" w:color="000000" w:sz="12" w:space="0"/>
              <w:tl2br w:val="nil"/>
              <w:tr2bl w:val="nil"/>
            </w:tcBorders>
            <w:noWrap/>
            <w:vAlign w:val="center"/>
          </w:tcPr>
          <w:p w14:paraId="203EC2D5">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r>
      <w:tr w14:paraId="06AF12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713BE339">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合计</w:t>
            </w:r>
          </w:p>
        </w:tc>
        <w:tc>
          <w:tcPr>
            <w:tcW w:w="651" w:type="dxa"/>
            <w:tcBorders>
              <w:tl2br w:val="nil"/>
              <w:tr2bl w:val="nil"/>
            </w:tcBorders>
            <w:vAlign w:val="center"/>
          </w:tcPr>
          <w:p w14:paraId="2F5C1CC4">
            <w:pPr>
              <w:adjustRightInd w:val="0"/>
              <w:snapToGrid w:val="0"/>
              <w:spacing w:after="0" w:line="240" w:lineRule="auto"/>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2688</w:t>
            </w:r>
          </w:p>
        </w:tc>
        <w:tc>
          <w:tcPr>
            <w:tcW w:w="413" w:type="dxa"/>
            <w:tcBorders>
              <w:tl2br w:val="nil"/>
              <w:tr2bl w:val="nil"/>
            </w:tcBorders>
            <w:vAlign w:val="center"/>
          </w:tcPr>
          <w:p w14:paraId="44C70A4C">
            <w:pPr>
              <w:adjustRightInd w:val="0"/>
              <w:snapToGrid w:val="0"/>
              <w:spacing w:after="0" w:line="240" w:lineRule="auto"/>
              <w:rPr>
                <w:rFonts w:ascii="宋体" w:hAnsi="宋体" w:eastAsia="宋体" w:cs="宋体"/>
                <w:sz w:val="13"/>
                <w:szCs w:val="13"/>
                <w:highlight w:val="none"/>
              </w:rPr>
            </w:pPr>
            <w:r>
              <w:rPr>
                <w:rFonts w:hint="eastAsia" w:ascii="宋体" w:hAnsi="宋体" w:eastAsia="宋体" w:cs="宋体"/>
                <w:b/>
                <w:bCs/>
                <w:sz w:val="13"/>
                <w:szCs w:val="13"/>
                <w:highlight w:val="none"/>
                <w:lang w:val="en-US" w:eastAsia="zh-CN"/>
              </w:rPr>
              <w:t>151</w:t>
            </w:r>
            <w:r>
              <w:rPr>
                <w:rFonts w:hint="eastAsia" w:ascii="宋体" w:hAnsi="宋体" w:eastAsia="宋体" w:cs="宋体"/>
                <w:b/>
                <w:bCs/>
                <w:sz w:val="13"/>
                <w:szCs w:val="13"/>
                <w:highlight w:val="none"/>
              </w:rPr>
              <w:t xml:space="preserve"> </w:t>
            </w:r>
          </w:p>
        </w:tc>
        <w:tc>
          <w:tcPr>
            <w:tcW w:w="581" w:type="dxa"/>
            <w:tcBorders>
              <w:tl2br w:val="nil"/>
              <w:tr2bl w:val="nil"/>
            </w:tcBorders>
            <w:vAlign w:val="center"/>
          </w:tcPr>
          <w:p w14:paraId="59ADF2CC">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159</w:t>
            </w:r>
          </w:p>
        </w:tc>
        <w:tc>
          <w:tcPr>
            <w:tcW w:w="619" w:type="dxa"/>
            <w:tcBorders>
              <w:tl2br w:val="nil"/>
              <w:tr2bl w:val="nil"/>
            </w:tcBorders>
            <w:vAlign w:val="center"/>
          </w:tcPr>
          <w:p w14:paraId="45243C97">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1287</w:t>
            </w:r>
          </w:p>
        </w:tc>
        <w:tc>
          <w:tcPr>
            <w:tcW w:w="602" w:type="dxa"/>
            <w:tcBorders>
              <w:tl2br w:val="nil"/>
              <w:tr2bl w:val="nil"/>
            </w:tcBorders>
            <w:vAlign w:val="center"/>
          </w:tcPr>
          <w:p w14:paraId="7028B647">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1401</w:t>
            </w:r>
          </w:p>
        </w:tc>
        <w:tc>
          <w:tcPr>
            <w:tcW w:w="569" w:type="dxa"/>
            <w:tcBorders>
              <w:tl2br w:val="nil"/>
              <w:tr2bl w:val="nil"/>
            </w:tcBorders>
            <w:vAlign w:val="center"/>
          </w:tcPr>
          <w:p w14:paraId="296DCD2D">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26</w:t>
            </w:r>
          </w:p>
        </w:tc>
        <w:tc>
          <w:tcPr>
            <w:tcW w:w="504" w:type="dxa"/>
            <w:tcBorders>
              <w:tl2br w:val="nil"/>
              <w:tr2bl w:val="nil"/>
            </w:tcBorders>
            <w:vAlign w:val="center"/>
          </w:tcPr>
          <w:p w14:paraId="762D4FF9">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27</w:t>
            </w:r>
          </w:p>
        </w:tc>
        <w:tc>
          <w:tcPr>
            <w:tcW w:w="535" w:type="dxa"/>
            <w:tcBorders>
              <w:tl2br w:val="nil"/>
              <w:tr2bl w:val="nil"/>
            </w:tcBorders>
            <w:vAlign w:val="center"/>
          </w:tcPr>
          <w:p w14:paraId="61D285EC">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656E08E6">
            <w:pPr>
              <w:adjustRightInd w:val="0"/>
              <w:snapToGrid w:val="0"/>
              <w:spacing w:after="0" w:line="240" w:lineRule="auto"/>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23DFB69D">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1"/>
                <w:szCs w:val="11"/>
                <w:highlight w:val="none"/>
                <w:lang w:val="en-US" w:eastAsia="zh-CN"/>
              </w:rPr>
              <w:t>(18)</w:t>
            </w:r>
          </w:p>
        </w:tc>
        <w:tc>
          <w:tcPr>
            <w:tcW w:w="584" w:type="dxa"/>
            <w:tcBorders>
              <w:tl2br w:val="nil"/>
              <w:tr2bl w:val="nil"/>
            </w:tcBorders>
            <w:vAlign w:val="center"/>
          </w:tcPr>
          <w:p w14:paraId="3F723D9A">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13"/>
                <w:szCs w:val="13"/>
                <w:highlight w:val="none"/>
                <w:lang w:eastAsia="zh-CN"/>
              </w:rPr>
              <w:t>(</w:t>
            </w: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3862ABB7">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c>
          <w:tcPr>
            <w:tcW w:w="522" w:type="dxa"/>
            <w:tcBorders>
              <w:right w:val="thinThickSmallGap" w:color="000000" w:sz="12" w:space="0"/>
              <w:tl2br w:val="nil"/>
              <w:tr2bl w:val="nil"/>
            </w:tcBorders>
            <w:noWrap/>
            <w:vAlign w:val="center"/>
          </w:tcPr>
          <w:p w14:paraId="7EB6514A">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sz w:val="21"/>
                <w:szCs w:val="21"/>
                <w:highlight w:val="none"/>
              </w:rPr>
              <w:t>　</w:t>
            </w:r>
          </w:p>
        </w:tc>
      </w:tr>
      <w:tr w14:paraId="649C43F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9270" w:type="dxa"/>
            <w:gridSpan w:val="17"/>
            <w:tcBorders>
              <w:left w:val="thinThickSmallGap" w:color="000000" w:sz="12" w:space="0"/>
              <w:bottom w:val="thinThickSmallGap" w:color="000000" w:sz="12" w:space="0"/>
              <w:right w:val="thinThickSmallGap" w:color="000000" w:sz="12" w:space="0"/>
              <w:tl2br w:val="nil"/>
              <w:tr2bl w:val="nil"/>
            </w:tcBorders>
            <w:vAlign w:val="center"/>
          </w:tcPr>
          <w:p w14:paraId="097FF001">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b/>
                <w:sz w:val="21"/>
                <w:szCs w:val="21"/>
                <w:highlight w:val="none"/>
              </w:rPr>
              <w:t>说明：</w:t>
            </w:r>
            <w:r>
              <w:rPr>
                <w:rFonts w:hint="eastAsia" w:ascii="宋体" w:hAnsi="宋体" w:eastAsia="宋体" w:cs="宋体"/>
                <w:sz w:val="21"/>
                <w:szCs w:val="21"/>
                <w:highlight w:val="none"/>
              </w:rPr>
              <w:t>每学期按照18周计算，周学时为24—26学时，毕业论文设计和岗位实习按每周18学时计算，</w:t>
            </w:r>
            <w:r>
              <w:rPr>
                <w:rFonts w:hint="eastAsia" w:ascii="宋体" w:hAnsi="宋体" w:eastAsia="宋体" w:cs="宋体"/>
                <w:sz w:val="21"/>
                <w:szCs w:val="21"/>
                <w:highlight w:val="none"/>
                <w:lang w:val="en-US" w:eastAsia="zh-CN"/>
              </w:rPr>
              <w:t>任意</w:t>
            </w:r>
            <w:r>
              <w:rPr>
                <w:rFonts w:hint="eastAsia" w:ascii="宋体" w:hAnsi="宋体" w:eastAsia="宋体" w:cs="宋体"/>
                <w:sz w:val="21"/>
                <w:szCs w:val="21"/>
                <w:highlight w:val="none"/>
              </w:rPr>
              <w:t>选修课任选</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个学分</w:t>
            </w:r>
            <w:r>
              <w:rPr>
                <w:rFonts w:hint="eastAsia" w:ascii="宋体" w:hAnsi="宋体" w:eastAsia="宋体" w:cs="宋体"/>
                <w:sz w:val="21"/>
                <w:szCs w:val="21"/>
                <w:highlight w:val="none"/>
                <w:lang w:val="en-US" w:eastAsia="zh-CN"/>
              </w:rPr>
              <w:t>以上</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公共课988学时大于等于总课时25%，限定选修课252+任意选修课54学时大于等于总课时10%，实践课1401学时大于总课时50%。实习一般为：累计6个月。思政类课程按照马院具体要求执行。</w:t>
            </w:r>
          </w:p>
          <w:p w14:paraId="5B22F1FE">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b/>
                <w:sz w:val="21"/>
                <w:szCs w:val="21"/>
                <w:highlight w:val="none"/>
              </w:rPr>
              <w:t>学分核算办法：</w:t>
            </w:r>
            <w:r>
              <w:rPr>
                <w:rFonts w:hint="eastAsia" w:ascii="宋体" w:hAnsi="宋体" w:eastAsia="宋体" w:cs="宋体"/>
                <w:sz w:val="21"/>
                <w:szCs w:val="21"/>
                <w:highlight w:val="none"/>
              </w:rPr>
              <w:t>学分计算以</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为最小单位（基元单位）。每门课程一般以每18学时计1学分</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按照成绩核算学分。独立设置的课程设计、实习、实训每周计1学分。校内专项实训、工学交替实训、毕业设计、岗位实习等每周计</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 xml:space="preserve"> 学分。拓展活动项目累计18学时计1学分。各类获奖、技能定级按级别申请</w:t>
            </w:r>
            <w:r>
              <w:rPr>
                <w:rFonts w:hint="eastAsia" w:ascii="宋体" w:hAnsi="宋体" w:eastAsia="宋体" w:cs="宋体"/>
                <w:sz w:val="21"/>
                <w:szCs w:val="21"/>
                <w:highlight w:val="none"/>
                <w:lang w:val="en-US" w:eastAsia="zh-CN"/>
              </w:rPr>
              <w:t>置换</w:t>
            </w:r>
            <w:r>
              <w:rPr>
                <w:rFonts w:hint="eastAsia" w:ascii="宋体" w:hAnsi="宋体" w:eastAsia="宋体" w:cs="宋体"/>
                <w:sz w:val="21"/>
                <w:szCs w:val="21"/>
                <w:highlight w:val="none"/>
              </w:rPr>
              <w:t xml:space="preserve">学分。 </w:t>
            </w:r>
          </w:p>
        </w:tc>
      </w:tr>
    </w:tbl>
    <w:p w14:paraId="3BA51699">
      <w:pPr>
        <w:overflowPunct w:val="0"/>
        <w:adjustRightInd w:val="0"/>
        <w:spacing w:after="0" w:line="240" w:lineRule="auto"/>
        <w:jc w:val="both"/>
        <w:rPr>
          <w:rFonts w:asciiTheme="minorEastAsia" w:hAnsiTheme="minorEastAsia" w:eastAsiaTheme="minorEastAsia"/>
          <w:b/>
          <w:bCs/>
          <w:sz w:val="24"/>
          <w:szCs w:val="24"/>
        </w:rPr>
      </w:pPr>
    </w:p>
    <w:sectPr>
      <w:footerReference r:id="rId7" w:type="default"/>
      <w:pgSz w:w="11906" w:h="16838"/>
      <w:pgMar w:top="1440" w:right="1418" w:bottom="1440" w:left="1418" w:header="851" w:footer="992" w:gutter="0"/>
      <w:pgNumType w:fmt="decimal" w:start="1"/>
      <w:cols w:space="425"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ExtG"/>
    <w:panose1 w:val="02010609060101010101"/>
    <w:charset w:val="86"/>
    <w:family w:val="auto"/>
    <w:pitch w:val="default"/>
    <w:sig w:usb0="800002BF" w:usb1="38CF7CFA" w:usb2="00000016" w:usb3="00000000" w:csb0="00040001" w:csb1="00000000"/>
    <w:embedRegular r:id="rId1" w:fontKey="{39E1BC14-F8D9-44DD-9339-1CB5843E6B1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embedRegular r:id="rId2" w:fontKey="{0FC4F845-6633-42F3-8E8D-C4A7257FE79B}"/>
  </w:font>
  <w:font w:name="仿宋">
    <w:panose1 w:val="02010609060101010101"/>
    <w:charset w:val="86"/>
    <w:family w:val="modern"/>
    <w:pitch w:val="default"/>
    <w:sig w:usb0="800002BF" w:usb1="38CF7CFA" w:usb2="00000016" w:usb3="00000000" w:csb0="00040001" w:csb1="00000000"/>
    <w:embedRegular r:id="rId3" w:fontKey="{5CB68F9C-2A07-429A-90C2-5E955F22433E}"/>
  </w:font>
  <w:font w:name="方正小标宋简体">
    <w:panose1 w:val="03000509000000000000"/>
    <w:charset w:val="86"/>
    <w:family w:val="script"/>
    <w:pitch w:val="default"/>
    <w:sig w:usb0="00000001" w:usb1="080E0000" w:usb2="00000000" w:usb3="00000000" w:csb0="00040000" w:csb1="00000000"/>
    <w:embedRegular r:id="rId4" w:fontKey="{20CA391C-8992-4653-AAFF-F70318DAACDF}"/>
  </w:font>
  <w:font w:name="方正公文小标宋">
    <w:panose1 w:val="02000500000000000000"/>
    <w:charset w:val="86"/>
    <w:family w:val="auto"/>
    <w:pitch w:val="default"/>
    <w:sig w:usb0="A00002BF" w:usb1="38CF7CFA" w:usb2="00000016" w:usb3="00000000" w:csb0="00040001" w:csb1="00000000"/>
    <w:embedRegular r:id="rId5" w:fontKey="{D79ACCCD-43D6-4809-8AEF-7694BFEF4F90}"/>
  </w:font>
  <w:font w:name="SimSun-ExtG">
    <w:panose1 w:val="02010609060101010101"/>
    <w:charset w:val="86"/>
    <w:family w:val="auto"/>
    <w:pitch w:val="default"/>
    <w:sig w:usb0="00000001" w:usb1="02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3FC15">
    <w:pPr>
      <w:pStyle w:val="8"/>
      <w:jc w:val="center"/>
    </w:pPr>
  </w:p>
  <w:p w14:paraId="39D0F4E6">
    <w:pPr>
      <w:pStyle w:val="4"/>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9D681">
    <w:pPr>
      <w:pStyle w:val="8"/>
      <w:jc w:val="center"/>
    </w:pPr>
  </w:p>
  <w:p w14:paraId="24360BD3">
    <w:pPr>
      <w:pStyle w:val="4"/>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A445F">
    <w:pPr>
      <w:pStyle w:val="8"/>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889E5E">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23889E5E">
                    <w:pPr>
                      <w:pStyle w:val="8"/>
                    </w:pPr>
                    <w:r>
                      <w:fldChar w:fldCharType="begin"/>
                    </w:r>
                    <w:r>
                      <w:instrText xml:space="preserve"> PAGE  \* MERGEFORMAT </w:instrText>
                    </w:r>
                    <w:r>
                      <w:fldChar w:fldCharType="separate"/>
                    </w:r>
                    <w:r>
                      <w:t>3</w:t>
                    </w:r>
                    <w:r>
                      <w:fldChar w:fldCharType="end"/>
                    </w:r>
                  </w:p>
                </w:txbxContent>
              </v:textbox>
            </v:shape>
          </w:pict>
        </mc:Fallback>
      </mc:AlternateContent>
    </w:r>
  </w:p>
  <w:p w14:paraId="6D6AE56E">
    <w:pPr>
      <w:pStyle w:val="4"/>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47DF45"/>
    <w:multiLevelType w:val="singleLevel"/>
    <w:tmpl w:val="DD47DF45"/>
    <w:lvl w:ilvl="0" w:tentative="0">
      <w:start w:val="2"/>
      <w:numFmt w:val="chineseCounting"/>
      <w:suff w:val="nothing"/>
      <w:lvlText w:val="（%1）"/>
      <w:lvlJc w:val="left"/>
      <w:rPr>
        <w:rFonts w:hint="eastAsia"/>
      </w:rPr>
    </w:lvl>
  </w:abstractNum>
  <w:abstractNum w:abstractNumId="1">
    <w:nsid w:val="21C96227"/>
    <w:multiLevelType w:val="singleLevel"/>
    <w:tmpl w:val="21C96227"/>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1NTFjOGE0YzdiODhhNjhiM2Q1ZDRhNWVjZDc1YjIifQ=="/>
  </w:docVars>
  <w:rsids>
    <w:rsidRoot w:val="00B757DA"/>
    <w:rsid w:val="0001685B"/>
    <w:rsid w:val="0003758A"/>
    <w:rsid w:val="0004194A"/>
    <w:rsid w:val="00067AE0"/>
    <w:rsid w:val="000731EF"/>
    <w:rsid w:val="000774B7"/>
    <w:rsid w:val="00080A61"/>
    <w:rsid w:val="0009603C"/>
    <w:rsid w:val="000A0E81"/>
    <w:rsid w:val="000C4F72"/>
    <w:rsid w:val="000C7C94"/>
    <w:rsid w:val="000D51E5"/>
    <w:rsid w:val="000E49E7"/>
    <w:rsid w:val="000F4AA5"/>
    <w:rsid w:val="00101030"/>
    <w:rsid w:val="00112D36"/>
    <w:rsid w:val="001244A5"/>
    <w:rsid w:val="001367A3"/>
    <w:rsid w:val="001701D7"/>
    <w:rsid w:val="00172003"/>
    <w:rsid w:val="00174515"/>
    <w:rsid w:val="00180166"/>
    <w:rsid w:val="0018260D"/>
    <w:rsid w:val="001A5395"/>
    <w:rsid w:val="001B78FF"/>
    <w:rsid w:val="001D2DA9"/>
    <w:rsid w:val="001E0187"/>
    <w:rsid w:val="001E5453"/>
    <w:rsid w:val="00201630"/>
    <w:rsid w:val="00203D56"/>
    <w:rsid w:val="002220BB"/>
    <w:rsid w:val="00224588"/>
    <w:rsid w:val="002357D5"/>
    <w:rsid w:val="002470EB"/>
    <w:rsid w:val="00261685"/>
    <w:rsid w:val="002630ED"/>
    <w:rsid w:val="0026355D"/>
    <w:rsid w:val="00281844"/>
    <w:rsid w:val="002A5DBD"/>
    <w:rsid w:val="002B707C"/>
    <w:rsid w:val="002B7E82"/>
    <w:rsid w:val="002C063D"/>
    <w:rsid w:val="002E0CA7"/>
    <w:rsid w:val="002E4497"/>
    <w:rsid w:val="002E66EA"/>
    <w:rsid w:val="002F3A04"/>
    <w:rsid w:val="003205B7"/>
    <w:rsid w:val="003243A9"/>
    <w:rsid w:val="003375E5"/>
    <w:rsid w:val="00342388"/>
    <w:rsid w:val="00344246"/>
    <w:rsid w:val="00364FDA"/>
    <w:rsid w:val="00380167"/>
    <w:rsid w:val="00385E22"/>
    <w:rsid w:val="00391E2F"/>
    <w:rsid w:val="00394993"/>
    <w:rsid w:val="00395B44"/>
    <w:rsid w:val="003D44A1"/>
    <w:rsid w:val="003D5386"/>
    <w:rsid w:val="003E0FC8"/>
    <w:rsid w:val="003E62AB"/>
    <w:rsid w:val="00413DA6"/>
    <w:rsid w:val="00421720"/>
    <w:rsid w:val="004313C7"/>
    <w:rsid w:val="00432544"/>
    <w:rsid w:val="00433BF0"/>
    <w:rsid w:val="00437245"/>
    <w:rsid w:val="004535A0"/>
    <w:rsid w:val="00473BF0"/>
    <w:rsid w:val="00473E3A"/>
    <w:rsid w:val="00475793"/>
    <w:rsid w:val="00481B75"/>
    <w:rsid w:val="00485893"/>
    <w:rsid w:val="004866B1"/>
    <w:rsid w:val="00497859"/>
    <w:rsid w:val="004A23E9"/>
    <w:rsid w:val="004B4D43"/>
    <w:rsid w:val="004D0979"/>
    <w:rsid w:val="004D420E"/>
    <w:rsid w:val="004D7A4F"/>
    <w:rsid w:val="004E2F9E"/>
    <w:rsid w:val="004F153C"/>
    <w:rsid w:val="004F628E"/>
    <w:rsid w:val="004F6FB9"/>
    <w:rsid w:val="00504DCB"/>
    <w:rsid w:val="005208A8"/>
    <w:rsid w:val="00526C76"/>
    <w:rsid w:val="00537C36"/>
    <w:rsid w:val="00540228"/>
    <w:rsid w:val="00542B8D"/>
    <w:rsid w:val="005477C7"/>
    <w:rsid w:val="005568D7"/>
    <w:rsid w:val="005637AB"/>
    <w:rsid w:val="005641B8"/>
    <w:rsid w:val="00581B94"/>
    <w:rsid w:val="00590C35"/>
    <w:rsid w:val="00595602"/>
    <w:rsid w:val="005A5168"/>
    <w:rsid w:val="005A7D02"/>
    <w:rsid w:val="005B07FC"/>
    <w:rsid w:val="005B1114"/>
    <w:rsid w:val="005B44AA"/>
    <w:rsid w:val="005D6965"/>
    <w:rsid w:val="0061019A"/>
    <w:rsid w:val="0063542C"/>
    <w:rsid w:val="00645502"/>
    <w:rsid w:val="00662DF9"/>
    <w:rsid w:val="00675DBB"/>
    <w:rsid w:val="00681107"/>
    <w:rsid w:val="00683F82"/>
    <w:rsid w:val="006857A9"/>
    <w:rsid w:val="00690E4E"/>
    <w:rsid w:val="006926C0"/>
    <w:rsid w:val="006B64D2"/>
    <w:rsid w:val="006C4679"/>
    <w:rsid w:val="006D391B"/>
    <w:rsid w:val="006D3BFF"/>
    <w:rsid w:val="006E109B"/>
    <w:rsid w:val="006F491F"/>
    <w:rsid w:val="00720294"/>
    <w:rsid w:val="00747835"/>
    <w:rsid w:val="00747C3C"/>
    <w:rsid w:val="00752929"/>
    <w:rsid w:val="0078374B"/>
    <w:rsid w:val="00791C64"/>
    <w:rsid w:val="00793AD1"/>
    <w:rsid w:val="007949A5"/>
    <w:rsid w:val="007A58F5"/>
    <w:rsid w:val="007D4501"/>
    <w:rsid w:val="00824445"/>
    <w:rsid w:val="008579C2"/>
    <w:rsid w:val="00865A3D"/>
    <w:rsid w:val="00886457"/>
    <w:rsid w:val="008925EB"/>
    <w:rsid w:val="008936F9"/>
    <w:rsid w:val="008A05AD"/>
    <w:rsid w:val="008A70D5"/>
    <w:rsid w:val="008B5B52"/>
    <w:rsid w:val="008C0810"/>
    <w:rsid w:val="008C2884"/>
    <w:rsid w:val="008C6575"/>
    <w:rsid w:val="008E322E"/>
    <w:rsid w:val="008F5D47"/>
    <w:rsid w:val="009000C3"/>
    <w:rsid w:val="00901AF1"/>
    <w:rsid w:val="00903701"/>
    <w:rsid w:val="0092495B"/>
    <w:rsid w:val="00936969"/>
    <w:rsid w:val="0094214F"/>
    <w:rsid w:val="00943D4B"/>
    <w:rsid w:val="00951C94"/>
    <w:rsid w:val="00970B8D"/>
    <w:rsid w:val="009726C8"/>
    <w:rsid w:val="009834CB"/>
    <w:rsid w:val="0099182C"/>
    <w:rsid w:val="009A1CD2"/>
    <w:rsid w:val="009C002D"/>
    <w:rsid w:val="009E0D96"/>
    <w:rsid w:val="009F2834"/>
    <w:rsid w:val="009F4B93"/>
    <w:rsid w:val="00A003A9"/>
    <w:rsid w:val="00A0500C"/>
    <w:rsid w:val="00A209A5"/>
    <w:rsid w:val="00A25DAF"/>
    <w:rsid w:val="00A3112D"/>
    <w:rsid w:val="00A4555E"/>
    <w:rsid w:val="00A60875"/>
    <w:rsid w:val="00A66996"/>
    <w:rsid w:val="00A74619"/>
    <w:rsid w:val="00A7590C"/>
    <w:rsid w:val="00A839AB"/>
    <w:rsid w:val="00A85344"/>
    <w:rsid w:val="00A8577B"/>
    <w:rsid w:val="00AD2866"/>
    <w:rsid w:val="00AE25A9"/>
    <w:rsid w:val="00AE4F23"/>
    <w:rsid w:val="00AF3AEC"/>
    <w:rsid w:val="00B0229D"/>
    <w:rsid w:val="00B040D7"/>
    <w:rsid w:val="00B232B0"/>
    <w:rsid w:val="00B259E6"/>
    <w:rsid w:val="00B278E7"/>
    <w:rsid w:val="00B34356"/>
    <w:rsid w:val="00B374F0"/>
    <w:rsid w:val="00B55FCA"/>
    <w:rsid w:val="00B727BC"/>
    <w:rsid w:val="00B74A6C"/>
    <w:rsid w:val="00B757DA"/>
    <w:rsid w:val="00B9464A"/>
    <w:rsid w:val="00BA4086"/>
    <w:rsid w:val="00BA5F01"/>
    <w:rsid w:val="00BB3B31"/>
    <w:rsid w:val="00BB5BBF"/>
    <w:rsid w:val="00BB7BC0"/>
    <w:rsid w:val="00BC3C3D"/>
    <w:rsid w:val="00BD26B4"/>
    <w:rsid w:val="00BE2AC4"/>
    <w:rsid w:val="00BE515D"/>
    <w:rsid w:val="00BF21D1"/>
    <w:rsid w:val="00BF2A73"/>
    <w:rsid w:val="00C22C4E"/>
    <w:rsid w:val="00C23555"/>
    <w:rsid w:val="00C235EE"/>
    <w:rsid w:val="00C406A7"/>
    <w:rsid w:val="00C45584"/>
    <w:rsid w:val="00C73AA7"/>
    <w:rsid w:val="00C80E42"/>
    <w:rsid w:val="00C84708"/>
    <w:rsid w:val="00CB2268"/>
    <w:rsid w:val="00CB4A5A"/>
    <w:rsid w:val="00CB77E4"/>
    <w:rsid w:val="00CC4FCA"/>
    <w:rsid w:val="00CD0659"/>
    <w:rsid w:val="00CD485A"/>
    <w:rsid w:val="00CD787B"/>
    <w:rsid w:val="00CE5A41"/>
    <w:rsid w:val="00D04614"/>
    <w:rsid w:val="00D10BA7"/>
    <w:rsid w:val="00D2578B"/>
    <w:rsid w:val="00D30579"/>
    <w:rsid w:val="00D338C2"/>
    <w:rsid w:val="00D47F1D"/>
    <w:rsid w:val="00D57072"/>
    <w:rsid w:val="00D64E5C"/>
    <w:rsid w:val="00D82876"/>
    <w:rsid w:val="00D831E4"/>
    <w:rsid w:val="00D86692"/>
    <w:rsid w:val="00DA45BB"/>
    <w:rsid w:val="00DC0584"/>
    <w:rsid w:val="00DD3036"/>
    <w:rsid w:val="00DD480A"/>
    <w:rsid w:val="00DF44A3"/>
    <w:rsid w:val="00E056F5"/>
    <w:rsid w:val="00E22FDB"/>
    <w:rsid w:val="00E400BC"/>
    <w:rsid w:val="00E402EB"/>
    <w:rsid w:val="00E47A8B"/>
    <w:rsid w:val="00E51418"/>
    <w:rsid w:val="00E722B8"/>
    <w:rsid w:val="00E827A5"/>
    <w:rsid w:val="00EF37F4"/>
    <w:rsid w:val="00F149FD"/>
    <w:rsid w:val="00F2249A"/>
    <w:rsid w:val="00F23912"/>
    <w:rsid w:val="00F417FA"/>
    <w:rsid w:val="00F5597B"/>
    <w:rsid w:val="00F61ECF"/>
    <w:rsid w:val="00F6520E"/>
    <w:rsid w:val="00F7102A"/>
    <w:rsid w:val="00F86BB6"/>
    <w:rsid w:val="00F973F6"/>
    <w:rsid w:val="00FA7E28"/>
    <w:rsid w:val="00FB45F0"/>
    <w:rsid w:val="00FB5B76"/>
    <w:rsid w:val="00FB68C1"/>
    <w:rsid w:val="00FC30CF"/>
    <w:rsid w:val="00FE65F8"/>
    <w:rsid w:val="016D674E"/>
    <w:rsid w:val="0475016D"/>
    <w:rsid w:val="075E45DB"/>
    <w:rsid w:val="079B3FAD"/>
    <w:rsid w:val="095104FE"/>
    <w:rsid w:val="0A604508"/>
    <w:rsid w:val="0B5A1C59"/>
    <w:rsid w:val="0C392C29"/>
    <w:rsid w:val="0D3A01A5"/>
    <w:rsid w:val="0E7E0566"/>
    <w:rsid w:val="11E06E41"/>
    <w:rsid w:val="11EC57E6"/>
    <w:rsid w:val="15785D0F"/>
    <w:rsid w:val="16D36F75"/>
    <w:rsid w:val="17C74D2B"/>
    <w:rsid w:val="1AEE4C28"/>
    <w:rsid w:val="1B636B19"/>
    <w:rsid w:val="1D7738D4"/>
    <w:rsid w:val="1F3C4A14"/>
    <w:rsid w:val="21717AB6"/>
    <w:rsid w:val="25E50202"/>
    <w:rsid w:val="29563019"/>
    <w:rsid w:val="29C6665D"/>
    <w:rsid w:val="2A5D04A9"/>
    <w:rsid w:val="2B3215C8"/>
    <w:rsid w:val="2D597CC0"/>
    <w:rsid w:val="2D5B2814"/>
    <w:rsid w:val="312D39F9"/>
    <w:rsid w:val="34552457"/>
    <w:rsid w:val="34CA2EE2"/>
    <w:rsid w:val="34F35036"/>
    <w:rsid w:val="36E96615"/>
    <w:rsid w:val="38592CB9"/>
    <w:rsid w:val="38F01E0F"/>
    <w:rsid w:val="3E4439FF"/>
    <w:rsid w:val="3F280213"/>
    <w:rsid w:val="41594397"/>
    <w:rsid w:val="42C10446"/>
    <w:rsid w:val="435116A5"/>
    <w:rsid w:val="43776D56"/>
    <w:rsid w:val="447D214A"/>
    <w:rsid w:val="456664D4"/>
    <w:rsid w:val="45BE6EBE"/>
    <w:rsid w:val="46A96191"/>
    <w:rsid w:val="482C30A8"/>
    <w:rsid w:val="48362D3C"/>
    <w:rsid w:val="49360E03"/>
    <w:rsid w:val="496B5677"/>
    <w:rsid w:val="49A07007"/>
    <w:rsid w:val="49BA7897"/>
    <w:rsid w:val="4A064990"/>
    <w:rsid w:val="4A69389D"/>
    <w:rsid w:val="4AC401BA"/>
    <w:rsid w:val="4B712E66"/>
    <w:rsid w:val="4BDE5BC4"/>
    <w:rsid w:val="4DC84976"/>
    <w:rsid w:val="4E7C2EBF"/>
    <w:rsid w:val="4FFE2746"/>
    <w:rsid w:val="50CF01D2"/>
    <w:rsid w:val="530C65DC"/>
    <w:rsid w:val="536E1371"/>
    <w:rsid w:val="539C2827"/>
    <w:rsid w:val="54BC7BD8"/>
    <w:rsid w:val="55147386"/>
    <w:rsid w:val="58421289"/>
    <w:rsid w:val="5988716F"/>
    <w:rsid w:val="5E3C677A"/>
    <w:rsid w:val="5E49202A"/>
    <w:rsid w:val="5E940365"/>
    <w:rsid w:val="5E9D190F"/>
    <w:rsid w:val="5EA70098"/>
    <w:rsid w:val="5FC51331"/>
    <w:rsid w:val="60AE4C6A"/>
    <w:rsid w:val="617F354E"/>
    <w:rsid w:val="620552BD"/>
    <w:rsid w:val="62217C2E"/>
    <w:rsid w:val="637421CA"/>
    <w:rsid w:val="64A63594"/>
    <w:rsid w:val="65E73470"/>
    <w:rsid w:val="66FF6BB4"/>
    <w:rsid w:val="6714680B"/>
    <w:rsid w:val="6B7D756C"/>
    <w:rsid w:val="6C3A1EC3"/>
    <w:rsid w:val="71453E6C"/>
    <w:rsid w:val="71D92806"/>
    <w:rsid w:val="74FD0B91"/>
    <w:rsid w:val="7B580C40"/>
    <w:rsid w:val="7D321B32"/>
    <w:rsid w:val="7D8227BD"/>
    <w:rsid w:val="7E1075B0"/>
    <w:rsid w:val="7F947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1" w:semiHidden="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qFormat="1" w:unhideWhenUsed="0" w:uiPriority="0" w:semiHidden="0" w:name="Body Text Indent 3"/>
    <w:lsdException w:uiPriority="0" w:name="Block Text"/>
    <w:lsdException w:qFormat="1"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pPr>
    <w:rPr>
      <w:rFonts w:asciiTheme="majorHAnsi" w:hAnsiTheme="majorHAnsi" w:eastAsiaTheme="majorEastAsia" w:cstheme="majorBidi"/>
      <w:sz w:val="22"/>
      <w:szCs w:val="22"/>
      <w:lang w:val="en-US" w:eastAsia="zh-CN" w:bidi="ar-SA"/>
    </w:rPr>
  </w:style>
  <w:style w:type="paragraph" w:styleId="2">
    <w:name w:val="heading 1"/>
    <w:basedOn w:val="1"/>
    <w:next w:val="1"/>
    <w:autoRedefine/>
    <w:qFormat/>
    <w:uiPriority w:val="9"/>
    <w:pPr>
      <w:spacing w:before="480" w:after="0"/>
      <w:contextualSpacing/>
      <w:outlineLvl w:val="0"/>
    </w:pPr>
    <w:rPr>
      <w:smallCaps/>
      <w:spacing w:val="5"/>
      <w:sz w:val="36"/>
      <w:szCs w:val="36"/>
    </w:rPr>
  </w:style>
  <w:style w:type="paragraph" w:styleId="3">
    <w:name w:val="heading 2"/>
    <w:basedOn w:val="1"/>
    <w:next w:val="1"/>
    <w:autoRedefine/>
    <w:qFormat/>
    <w:uiPriority w:val="1"/>
    <w:pPr>
      <w:spacing w:after="0" w:line="440" w:lineRule="exact"/>
      <w:ind w:firstLine="200" w:firstLineChars="200"/>
      <w:outlineLvl w:val="1"/>
    </w:pPr>
    <w:rPr>
      <w:rFonts w:ascii="宋体" w:hAnsi="宋体" w:cs="宋体"/>
      <w:b/>
      <w:bCs/>
      <w:sz w:val="24"/>
      <w:szCs w:val="21"/>
      <w:lang w:val="zh-CN" w:bidi="zh-CN"/>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4">
    <w:name w:val="Body Text"/>
    <w:basedOn w:val="1"/>
    <w:autoRedefine/>
    <w:qFormat/>
    <w:uiPriority w:val="1"/>
    <w:rPr>
      <w:rFonts w:ascii="宋体" w:hAnsi="宋体" w:eastAsia="宋体" w:cs="宋体"/>
      <w:sz w:val="21"/>
      <w:szCs w:val="21"/>
      <w:lang w:val="zh-CN" w:bidi="zh-CN"/>
    </w:rPr>
  </w:style>
  <w:style w:type="paragraph" w:styleId="5">
    <w:name w:val="toc 3"/>
    <w:basedOn w:val="1"/>
    <w:next w:val="1"/>
    <w:autoRedefine/>
    <w:unhideWhenUsed/>
    <w:qFormat/>
    <w:uiPriority w:val="39"/>
    <w:pPr>
      <w:spacing w:after="100" w:line="259" w:lineRule="auto"/>
      <w:ind w:left="440"/>
    </w:pPr>
    <w:rPr>
      <w:rFonts w:cs="Times New Roman" w:asciiTheme="minorHAnsi" w:hAnsiTheme="minorHAnsi" w:eastAsiaTheme="minorEastAsia"/>
    </w:rPr>
  </w:style>
  <w:style w:type="paragraph" w:styleId="6">
    <w:name w:val="Plain Text"/>
    <w:basedOn w:val="1"/>
    <w:autoRedefine/>
    <w:qFormat/>
    <w:uiPriority w:val="0"/>
    <w:pPr>
      <w:ind w:firstLine="200" w:firstLineChars="200"/>
    </w:pPr>
    <w:rPr>
      <w:rFonts w:hint="eastAsia" w:ascii="宋体" w:hAnsi="Courier New" w:eastAsia="仿宋" w:cs="Courier New"/>
      <w:szCs w:val="21"/>
    </w:rPr>
  </w:style>
  <w:style w:type="paragraph" w:styleId="7">
    <w:name w:val="Balloon Text"/>
    <w:basedOn w:val="1"/>
    <w:link w:val="24"/>
    <w:autoRedefine/>
    <w:qFormat/>
    <w:uiPriority w:val="0"/>
    <w:pPr>
      <w:spacing w:after="0" w:line="240" w:lineRule="auto"/>
    </w:pPr>
    <w:rPr>
      <w:sz w:val="18"/>
      <w:szCs w:val="18"/>
    </w:rPr>
  </w:style>
  <w:style w:type="paragraph" w:styleId="8">
    <w:name w:val="footer"/>
    <w:basedOn w:val="1"/>
    <w:link w:val="22"/>
    <w:autoRedefine/>
    <w:qFormat/>
    <w:uiPriority w:val="99"/>
    <w:pPr>
      <w:tabs>
        <w:tab w:val="center" w:pos="4153"/>
        <w:tab w:val="right" w:pos="8306"/>
      </w:tabs>
      <w:snapToGrid w:val="0"/>
      <w:spacing w:line="240" w:lineRule="auto"/>
    </w:pPr>
    <w:rPr>
      <w:sz w:val="18"/>
      <w:szCs w:val="18"/>
    </w:rPr>
  </w:style>
  <w:style w:type="paragraph" w:styleId="9">
    <w:name w:val="header"/>
    <w:basedOn w:val="1"/>
    <w:link w:val="21"/>
    <w:autoRedefine/>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0">
    <w:name w:val="toc 1"/>
    <w:basedOn w:val="1"/>
    <w:next w:val="1"/>
    <w:autoRedefine/>
    <w:unhideWhenUsed/>
    <w:qFormat/>
    <w:uiPriority w:val="39"/>
    <w:pPr>
      <w:spacing w:after="100" w:line="259" w:lineRule="auto"/>
    </w:pPr>
    <w:rPr>
      <w:rFonts w:cs="Times New Roman" w:asciiTheme="minorHAnsi" w:hAnsiTheme="minorHAnsi" w:eastAsiaTheme="minorEastAsia"/>
    </w:rPr>
  </w:style>
  <w:style w:type="paragraph" w:styleId="11">
    <w:name w:val="Body Text Indent 3"/>
    <w:basedOn w:val="1"/>
    <w:autoRedefine/>
    <w:qFormat/>
    <w:uiPriority w:val="0"/>
    <w:pPr>
      <w:spacing w:after="120"/>
      <w:ind w:left="420" w:leftChars="200"/>
    </w:pPr>
    <w:rPr>
      <w:rFonts w:eastAsia="宋体"/>
      <w:sz w:val="16"/>
      <w:szCs w:val="16"/>
    </w:rPr>
  </w:style>
  <w:style w:type="paragraph" w:styleId="12">
    <w:name w:val="toc 2"/>
    <w:basedOn w:val="1"/>
    <w:next w:val="1"/>
    <w:autoRedefine/>
    <w:unhideWhenUsed/>
    <w:qFormat/>
    <w:uiPriority w:val="39"/>
    <w:pPr>
      <w:spacing w:after="100" w:line="259" w:lineRule="auto"/>
      <w:ind w:left="220"/>
    </w:pPr>
    <w:rPr>
      <w:rFonts w:cs="Times New Roman" w:asciiTheme="minorHAnsi" w:hAnsiTheme="minorHAnsi" w:eastAsiaTheme="minorEastAsia"/>
    </w:rPr>
  </w:style>
  <w:style w:type="paragraph" w:styleId="13">
    <w:name w:val="Normal (Web)"/>
    <w:basedOn w:val="1"/>
    <w:autoRedefine/>
    <w:semiHidden/>
    <w:unhideWhenUsed/>
    <w:qFormat/>
    <w:uiPriority w:val="0"/>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FollowedHyperlink"/>
    <w:basedOn w:val="16"/>
    <w:autoRedefine/>
    <w:semiHidden/>
    <w:unhideWhenUsed/>
    <w:qFormat/>
    <w:uiPriority w:val="99"/>
    <w:rPr>
      <w:color w:val="800080"/>
      <w:u w:val="single"/>
    </w:rPr>
  </w:style>
  <w:style w:type="character" w:styleId="18">
    <w:name w:val="Hyperlink"/>
    <w:basedOn w:val="16"/>
    <w:autoRedefine/>
    <w:unhideWhenUsed/>
    <w:qFormat/>
    <w:uiPriority w:val="99"/>
    <w:rPr>
      <w:color w:val="0563C1"/>
      <w:u w:val="single"/>
    </w:rPr>
  </w:style>
  <w:style w:type="paragraph" w:customStyle="1" w:styleId="19">
    <w:name w:val="Table Paragraph"/>
    <w:basedOn w:val="1"/>
    <w:autoRedefine/>
    <w:qFormat/>
    <w:uiPriority w:val="1"/>
    <w:rPr>
      <w:rFonts w:ascii="宋体" w:hAnsi="宋体" w:eastAsia="宋体" w:cs="宋体"/>
      <w:lang w:val="zh-CN" w:bidi="zh-CN"/>
    </w:rPr>
  </w:style>
  <w:style w:type="paragraph" w:styleId="20">
    <w:name w:val="List Paragraph"/>
    <w:basedOn w:val="1"/>
    <w:autoRedefine/>
    <w:qFormat/>
    <w:uiPriority w:val="1"/>
    <w:pPr>
      <w:ind w:left="1262" w:hanging="525"/>
    </w:pPr>
    <w:rPr>
      <w:rFonts w:ascii="宋体" w:hAnsi="宋体" w:eastAsia="宋体" w:cs="宋体"/>
      <w:lang w:val="zh-CN" w:bidi="zh-CN"/>
    </w:rPr>
  </w:style>
  <w:style w:type="character" w:customStyle="1" w:styleId="21">
    <w:name w:val="页眉 Char"/>
    <w:basedOn w:val="16"/>
    <w:link w:val="9"/>
    <w:autoRedefine/>
    <w:qFormat/>
    <w:uiPriority w:val="0"/>
    <w:rPr>
      <w:rFonts w:asciiTheme="majorHAnsi" w:hAnsiTheme="majorHAnsi" w:eastAsiaTheme="majorEastAsia" w:cstheme="majorBidi"/>
      <w:sz w:val="18"/>
      <w:szCs w:val="18"/>
    </w:rPr>
  </w:style>
  <w:style w:type="character" w:customStyle="1" w:styleId="22">
    <w:name w:val="页脚 Char"/>
    <w:basedOn w:val="16"/>
    <w:link w:val="8"/>
    <w:autoRedefine/>
    <w:qFormat/>
    <w:uiPriority w:val="99"/>
    <w:rPr>
      <w:rFonts w:asciiTheme="majorHAnsi" w:hAnsiTheme="majorHAnsi" w:eastAsiaTheme="majorEastAsia" w:cstheme="majorBidi"/>
      <w:sz w:val="18"/>
      <w:szCs w:val="18"/>
    </w:rPr>
  </w:style>
  <w:style w:type="paragraph" w:customStyle="1" w:styleId="23">
    <w:name w:val="TOC 标题1"/>
    <w:basedOn w:val="2"/>
    <w:next w:val="1"/>
    <w:autoRedefine/>
    <w:unhideWhenUsed/>
    <w:qFormat/>
    <w:uiPriority w:val="39"/>
    <w:pPr>
      <w:keepNext/>
      <w:keepLines/>
      <w:spacing w:before="240" w:line="259" w:lineRule="auto"/>
      <w:contextualSpacing w:val="0"/>
      <w:outlineLvl w:val="9"/>
    </w:pPr>
    <w:rPr>
      <w:smallCaps w:val="0"/>
      <w:color w:val="2E75B6" w:themeColor="accent1" w:themeShade="BF"/>
      <w:spacing w:val="0"/>
      <w:sz w:val="32"/>
      <w:szCs w:val="32"/>
    </w:rPr>
  </w:style>
  <w:style w:type="character" w:customStyle="1" w:styleId="24">
    <w:name w:val="批注框文本 Char"/>
    <w:basedOn w:val="16"/>
    <w:link w:val="7"/>
    <w:autoRedefine/>
    <w:qFormat/>
    <w:uiPriority w:val="0"/>
    <w:rPr>
      <w:rFonts w:asciiTheme="majorHAnsi" w:hAnsiTheme="majorHAnsi" w:eastAsiaTheme="majorEastAsia" w:cstheme="majorBidi"/>
      <w:sz w:val="18"/>
      <w:szCs w:val="18"/>
    </w:rPr>
  </w:style>
  <w:style w:type="paragraph" w:customStyle="1" w:styleId="25">
    <w:name w:val="表标题"/>
    <w:basedOn w:val="1"/>
    <w:link w:val="26"/>
    <w:autoRedefine/>
    <w:qFormat/>
    <w:uiPriority w:val="0"/>
    <w:pPr>
      <w:spacing w:after="0" w:line="440" w:lineRule="exact"/>
      <w:jc w:val="center"/>
    </w:pPr>
    <w:rPr>
      <w:rFonts w:asciiTheme="minorEastAsia" w:hAnsiTheme="minorEastAsia" w:eastAsiaTheme="minorEastAsia"/>
      <w:b/>
      <w:sz w:val="21"/>
      <w:szCs w:val="21"/>
    </w:rPr>
  </w:style>
  <w:style w:type="character" w:customStyle="1" w:styleId="26">
    <w:name w:val="表标题 字符"/>
    <w:basedOn w:val="16"/>
    <w:link w:val="25"/>
    <w:autoRedefine/>
    <w:qFormat/>
    <w:uiPriority w:val="0"/>
    <w:rPr>
      <w:rFonts w:asciiTheme="minorEastAsia" w:hAnsiTheme="minorEastAsia" w:eastAsiaTheme="minorEastAsia" w:cstheme="majorBidi"/>
      <w:b/>
      <w:sz w:val="21"/>
      <w:szCs w:val="21"/>
    </w:rPr>
  </w:style>
  <w:style w:type="table" w:customStyle="1" w:styleId="27">
    <w:name w:val="Table Normal"/>
    <w:autoRedefine/>
    <w:semiHidden/>
    <w:unhideWhenUsed/>
    <w:qFormat/>
    <w:uiPriority w:val="2"/>
    <w:tblPr>
      <w:tblCellMar>
        <w:top w:w="0" w:type="dxa"/>
        <w:left w:w="0" w:type="dxa"/>
        <w:bottom w:w="0" w:type="dxa"/>
        <w:right w:w="0" w:type="dxa"/>
      </w:tblCellMar>
    </w:tblPr>
  </w:style>
  <w:style w:type="paragraph" w:customStyle="1" w:styleId="28">
    <w:name w:val="msonormal"/>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29">
    <w:name w:val="font5"/>
    <w:basedOn w:val="1"/>
    <w:autoRedefine/>
    <w:qFormat/>
    <w:uiPriority w:val="0"/>
    <w:pPr>
      <w:spacing w:before="100" w:beforeAutospacing="1" w:after="100" w:afterAutospacing="1" w:line="240" w:lineRule="auto"/>
    </w:pPr>
    <w:rPr>
      <w:rFonts w:ascii="宋体" w:hAnsi="宋体" w:eastAsia="宋体" w:cs="宋体"/>
      <w:sz w:val="18"/>
      <w:szCs w:val="18"/>
    </w:rPr>
  </w:style>
  <w:style w:type="paragraph" w:customStyle="1" w:styleId="30">
    <w:name w:val="xl65"/>
    <w:basedOn w:val="1"/>
    <w:autoRedefine/>
    <w:qFormat/>
    <w:uiPriority w:val="0"/>
    <w:pPr>
      <w:spacing w:before="100" w:beforeAutospacing="1" w:after="100" w:afterAutospacing="1" w:line="240" w:lineRule="auto"/>
    </w:pPr>
    <w:rPr>
      <w:rFonts w:ascii="宋体" w:hAnsi="宋体" w:eastAsia="宋体" w:cs="宋体"/>
      <w:b/>
      <w:bCs/>
      <w:sz w:val="24"/>
      <w:szCs w:val="24"/>
    </w:rPr>
  </w:style>
  <w:style w:type="paragraph" w:customStyle="1" w:styleId="31">
    <w:name w:val="xl6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2">
    <w:name w:val="xl67"/>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3">
    <w:name w:val="xl6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4">
    <w:name w:val="xl69"/>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5">
    <w:name w:val="xl70"/>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6">
    <w:name w:val="xl71"/>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7">
    <w:name w:val="xl72"/>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8">
    <w:name w:val="xl73"/>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9">
    <w:name w:val="xl74"/>
    <w:basedOn w:val="1"/>
    <w:autoRedefine/>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40">
    <w:name w:val="xl75"/>
    <w:basedOn w:val="1"/>
    <w:autoRedefine/>
    <w:qFormat/>
    <w:uiPriority w:val="0"/>
    <w:pPr>
      <w:pBdr>
        <w:top w:val="single" w:color="auto" w:sz="4" w:space="0"/>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1">
    <w:name w:val="xl76"/>
    <w:basedOn w:val="1"/>
    <w:autoRedefine/>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2">
    <w:name w:val="xl77"/>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3">
    <w:name w:val="xl78"/>
    <w:basedOn w:val="1"/>
    <w:autoRedefine/>
    <w:qFormat/>
    <w:uiPriority w:val="0"/>
    <w:pPr>
      <w:pBdr>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4">
    <w:name w:val="xl79"/>
    <w:basedOn w:val="1"/>
    <w:autoRedefine/>
    <w:qFormat/>
    <w:uiPriority w:val="0"/>
    <w:pPr>
      <w:pBdr>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5">
    <w:name w:val="xl80"/>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6">
    <w:name w:val="xl81"/>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7">
    <w:name w:val="xl82"/>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8">
    <w:name w:val="xl83"/>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49">
    <w:name w:val="xl84"/>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0">
    <w:name w:val="xl85"/>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1">
    <w:name w:val="xl8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52">
    <w:name w:val="xl87"/>
    <w:basedOn w:val="1"/>
    <w:autoRedefine/>
    <w:qFormat/>
    <w:uiPriority w:val="0"/>
    <w:pPr>
      <w:pBdr>
        <w:bottom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3">
    <w:name w:val="xl88"/>
    <w:basedOn w:val="1"/>
    <w:autoRedefine/>
    <w:qFormat/>
    <w:uiPriority w:val="0"/>
    <w:pPr>
      <w:pBdr>
        <w:top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4">
    <w:name w:val="xl89"/>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24"/>
      <w:szCs w:val="24"/>
    </w:rPr>
  </w:style>
  <w:style w:type="paragraph" w:customStyle="1" w:styleId="55">
    <w:name w:val="xl90"/>
    <w:basedOn w:val="1"/>
    <w:autoRedefine/>
    <w:qFormat/>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6">
    <w:name w:val="xl91"/>
    <w:basedOn w:val="1"/>
    <w:autoRedefine/>
    <w:qFormat/>
    <w:uiPriority w:val="0"/>
    <w:pPr>
      <w:pBdr>
        <w:top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7">
    <w:name w:val="xl92"/>
    <w:basedOn w:val="1"/>
    <w:autoRedefine/>
    <w:qFormat/>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8">
    <w:name w:val="xl93"/>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9">
    <w:name w:val="xl94"/>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60">
    <w:name w:val="xl9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宋体" w:hAnsi="宋体" w:eastAsia="宋体" w:cs="宋体"/>
      <w:sz w:val="12"/>
      <w:szCs w:val="12"/>
    </w:rPr>
  </w:style>
  <w:style w:type="paragraph" w:customStyle="1" w:styleId="61">
    <w:name w:val="WPSOffice手动目录 1"/>
    <w:qFormat/>
    <w:uiPriority w:val="0"/>
    <w:pPr>
      <w:ind w:leftChars="0"/>
    </w:pPr>
    <w:rPr>
      <w:rFonts w:ascii="Times New Roman" w:hAnsi="Times New Roman" w:eastAsia="宋体" w:cs="Times New Roman"/>
      <w:sz w:val="20"/>
      <w:szCs w:val="20"/>
    </w:rPr>
  </w:style>
  <w:style w:type="paragraph" w:customStyle="1" w:styleId="62">
    <w:name w:val="WPSOffice手动目录 2"/>
    <w:qFormat/>
    <w:uiPriority w:val="0"/>
    <w:pPr>
      <w:ind w:leftChars="200"/>
    </w:pPr>
    <w:rPr>
      <w:rFonts w:ascii="Times New Roman" w:hAnsi="Times New Roman" w:eastAsia="宋体" w:cs="Times New Roman"/>
      <w:sz w:val="20"/>
      <w:szCs w:val="20"/>
    </w:rPr>
  </w:style>
  <w:style w:type="paragraph" w:customStyle="1" w:styleId="63">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AF311E-A3E1-4782-B7A9-4646531592D3}">
  <ds:schemaRefs/>
</ds:datastoreItem>
</file>

<file path=docProps/app.xml><?xml version="1.0" encoding="utf-8"?>
<Properties xmlns="http://schemas.openxmlformats.org/officeDocument/2006/extended-properties" xmlns:vt="http://schemas.openxmlformats.org/officeDocument/2006/docPropsVTypes">
  <Template>Normal</Template>
  <Pages>24</Pages>
  <Words>428</Words>
  <Characters>475</Characters>
  <Lines>148</Lines>
  <Paragraphs>41</Paragraphs>
  <TotalTime>40</TotalTime>
  <ScaleCrop>false</ScaleCrop>
  <LinksUpToDate>false</LinksUpToDate>
  <CharactersWithSpaces>585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2022-06-09T03:18:00Z</dcterms:created>
  <dc:creator>Administrator</dc:creator>
  <cp:lastModifiedBy>axew</cp:lastModifiedBy>
  <cp:lastPrinted>2025-06-11T13:34:06Z</cp:lastPrinted>
  <dcterms:modified xsi:type="dcterms:W3CDTF">2025-06-11T13:37:46Z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2424E41D7CAB4DE59B9690692389810D_13</vt:lpwstr>
  </property>
  <property fmtid="{D5CDD505-2E9C-101B-9397-08002B2CF9AE}" pid="4" name="KSOTemplateDocerSaveRecord">
    <vt:lpwstr>eyJoZGlkIjoiZDgwNzVhMjM2MjhmYmU0NmY5ZDMxZjNlNTRkMDgxMjciLCJ1c2VySWQiOiIzNTcyNTY5NzAifQ==</vt:lpwstr>
  </property>
</Properties>
</file>