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631D6">
      <w:pPr>
        <w:pStyle w:val="2"/>
        <w:keepNext/>
        <w:keepLines/>
        <w:pageBreakBefore w:val="0"/>
        <w:widowControl w:val="0"/>
        <w:kinsoku/>
        <w:wordWrap/>
        <w:overflowPunct/>
        <w:topLinePunct w:val="0"/>
        <w:autoSpaceDE/>
        <w:autoSpaceDN/>
        <w:bidi w:val="0"/>
        <w:adjustRightInd/>
        <w:snapToGrid/>
        <w:spacing w:beforeAutospacing="0" w:after="380" w:afterAutospacing="0" w:line="560" w:lineRule="exact"/>
        <w:jc w:val="center"/>
        <w:textAlignment w:val="auto"/>
        <w:rPr>
          <w:rFonts w:hint="eastAsia" w:ascii="Arial" w:hAnsi="Arial" w:eastAsia="黑体" w:cstheme="minorBidi"/>
          <w:b/>
          <w:bCs w:val="0"/>
          <w:snapToGrid/>
          <w:color w:val="000000"/>
          <w:kern w:val="2"/>
          <w:sz w:val="40"/>
          <w:szCs w:val="32"/>
          <w:lang w:val="en-US" w:eastAsia="zh-CN"/>
        </w:rPr>
      </w:pPr>
      <w:r>
        <w:rPr>
          <w:rFonts w:hint="eastAsia" w:ascii="Arial" w:hAnsi="Arial" w:eastAsia="黑体" w:cstheme="minorBidi"/>
          <w:b/>
          <w:bCs w:val="0"/>
          <w:snapToGrid/>
          <w:color w:val="000000"/>
          <w:kern w:val="2"/>
          <w:sz w:val="40"/>
          <w:szCs w:val="32"/>
          <w:lang w:val="en-US" w:eastAsia="zh-CN"/>
        </w:rPr>
        <w:t>2025年兰州市中等职业学校技能大赛中职组中式烹饪赛项竞赛规程</w:t>
      </w:r>
    </w:p>
    <w:p w14:paraId="7C5F5FF7">
      <w:pPr>
        <w:widowControl/>
        <w:adjustRightInd w:val="0"/>
        <w:snapToGrid w:val="0"/>
        <w:spacing w:line="360" w:lineRule="auto"/>
        <w:ind w:firstLine="562" w:firstLineChars="200"/>
        <w:jc w:val="left"/>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一、赛项名称</w:t>
      </w:r>
    </w:p>
    <w:p w14:paraId="60BDF26C">
      <w:pPr>
        <w:adjustRightInd w:val="0"/>
        <w:snapToGrid w:val="0"/>
        <w:spacing w:line="360" w:lineRule="auto"/>
        <w:ind w:firstLine="560" w:firstLineChars="200"/>
        <w:rPr>
          <w:rFonts w:hint="eastAsia" w:ascii="仿宋_GB2312" w:hAnsi="仿宋_GB2312" w:eastAsia="仿宋_GB2312" w:cs="仿宋_GB2312"/>
          <w:b w:val="0"/>
          <w:bCs/>
          <w:color w:val="0C0C0C"/>
          <w:sz w:val="28"/>
          <w:szCs w:val="28"/>
        </w:rPr>
      </w:pPr>
      <w:r>
        <w:rPr>
          <w:rFonts w:hint="eastAsia" w:ascii="仿宋_GB2312" w:hAnsi="仿宋_GB2312" w:eastAsia="仿宋_GB2312" w:cs="仿宋_GB2312"/>
          <w:b w:val="0"/>
          <w:bCs/>
          <w:color w:val="0C0C0C"/>
          <w:sz w:val="28"/>
          <w:szCs w:val="28"/>
        </w:rPr>
        <w:t>赛项名称：中式烹饪</w:t>
      </w:r>
    </w:p>
    <w:p w14:paraId="38113930">
      <w:pPr>
        <w:adjustRightInd w:val="0"/>
        <w:snapToGrid w:val="0"/>
        <w:spacing w:line="360" w:lineRule="auto"/>
        <w:ind w:firstLine="560" w:firstLineChars="200"/>
        <w:rPr>
          <w:rFonts w:hint="eastAsia" w:ascii="仿宋_GB2312" w:hAnsi="仿宋_GB2312" w:eastAsia="仿宋_GB2312" w:cs="仿宋_GB2312"/>
          <w:b w:val="0"/>
          <w:bCs/>
          <w:color w:val="0C0C0C"/>
          <w:sz w:val="28"/>
          <w:szCs w:val="28"/>
        </w:rPr>
      </w:pPr>
      <w:r>
        <w:rPr>
          <w:rFonts w:hint="eastAsia" w:ascii="仿宋_GB2312" w:hAnsi="仿宋_GB2312" w:eastAsia="仿宋_GB2312" w:cs="仿宋_GB2312"/>
          <w:b w:val="0"/>
          <w:bCs/>
          <w:color w:val="0C0C0C"/>
          <w:sz w:val="28"/>
          <w:szCs w:val="28"/>
        </w:rPr>
        <w:t>英语翻译：</w:t>
      </w:r>
      <w:r>
        <w:rPr>
          <w:rFonts w:hint="eastAsia" w:ascii="仿宋_GB2312" w:hAnsi="仿宋_GB2312" w:eastAsia="仿宋_GB2312" w:cs="仿宋_GB2312"/>
          <w:b w:val="0"/>
          <w:bCs/>
          <w:sz w:val="28"/>
          <w:szCs w:val="28"/>
          <w:lang w:val="zh-CN"/>
        </w:rPr>
        <w:t>cuisine</w:t>
      </w:r>
    </w:p>
    <w:p w14:paraId="11D4CE02">
      <w:pPr>
        <w:adjustRightInd w:val="0"/>
        <w:snapToGrid w:val="0"/>
        <w:spacing w:line="360" w:lineRule="auto"/>
        <w:ind w:firstLine="560" w:firstLineChars="200"/>
        <w:rPr>
          <w:rFonts w:hint="eastAsia" w:ascii="仿宋_GB2312" w:hAnsi="仿宋_GB2312" w:eastAsia="仿宋_GB2312" w:cs="仿宋_GB2312"/>
          <w:b w:val="0"/>
          <w:bCs/>
          <w:color w:val="0C0C0C"/>
          <w:sz w:val="28"/>
          <w:szCs w:val="28"/>
        </w:rPr>
      </w:pPr>
      <w:r>
        <w:rPr>
          <w:rFonts w:hint="eastAsia" w:ascii="仿宋_GB2312" w:hAnsi="仿宋_GB2312" w:eastAsia="仿宋_GB2312" w:cs="仿宋_GB2312"/>
          <w:b w:val="0"/>
          <w:bCs/>
          <w:color w:val="0C0C0C"/>
          <w:sz w:val="28"/>
          <w:szCs w:val="28"/>
        </w:rPr>
        <w:t>赛项组别：中职组</w:t>
      </w:r>
    </w:p>
    <w:p w14:paraId="3E3D4101">
      <w:pPr>
        <w:widowControl/>
        <w:adjustRightInd w:val="0"/>
        <w:snapToGrid w:val="0"/>
        <w:spacing w:line="360" w:lineRule="auto"/>
        <w:ind w:firstLine="560" w:firstLineChars="200"/>
        <w:jc w:val="left"/>
        <w:rPr>
          <w:rFonts w:hint="eastAsia" w:ascii="仿宋_GB2312" w:hAnsi="仿宋_GB2312" w:eastAsia="仿宋_GB2312" w:cs="仿宋_GB2312"/>
          <w:b w:val="0"/>
          <w:bCs/>
          <w:color w:val="000000"/>
          <w:kern w:val="0"/>
          <w:sz w:val="28"/>
          <w:szCs w:val="28"/>
        </w:rPr>
      </w:pPr>
      <w:r>
        <w:rPr>
          <w:rFonts w:hint="eastAsia" w:ascii="仿宋_GB2312" w:hAnsi="仿宋_GB2312" w:eastAsia="仿宋_GB2312" w:cs="仿宋_GB2312"/>
          <w:b w:val="0"/>
          <w:bCs/>
          <w:color w:val="0C0C0C"/>
          <w:sz w:val="28"/>
          <w:szCs w:val="28"/>
        </w:rPr>
        <w:t>赛</w:t>
      </w:r>
      <w:r>
        <w:rPr>
          <w:rFonts w:hint="eastAsia" w:ascii="仿宋_GB2312" w:hAnsi="仿宋_GB2312" w:eastAsia="仿宋_GB2312" w:cs="仿宋_GB2312"/>
          <w:b w:val="0"/>
          <w:bCs/>
          <w:color w:val="000000"/>
          <w:sz w:val="28"/>
          <w:szCs w:val="28"/>
        </w:rPr>
        <w:t>项归属产业：旅游赛道二 餐饮类</w:t>
      </w:r>
    </w:p>
    <w:p w14:paraId="4F185353">
      <w:pPr>
        <w:widowControl/>
        <w:adjustRightInd w:val="0"/>
        <w:snapToGrid w:val="0"/>
        <w:spacing w:line="360" w:lineRule="auto"/>
        <w:ind w:firstLine="562" w:firstLineChars="200"/>
        <w:jc w:val="left"/>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二、目标任务</w:t>
      </w:r>
    </w:p>
    <w:p w14:paraId="282DBBF1">
      <w:pPr>
        <w:widowControl/>
        <w:adjustRightInd w:val="0"/>
        <w:snapToGrid w:val="0"/>
        <w:spacing w:line="360" w:lineRule="auto"/>
        <w:ind w:firstLine="840" w:firstLineChars="300"/>
        <w:jc w:val="lef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强化大赛综合育人功能。注重对参赛学生的专业技能、职业素养、协同配合、创新意识等进行培养，促进职业学校学生进一步增强实践动手能力、运用专业技能解决现实问题能力，同时提升团队协作能力、应变能力、表达能力等综合能力。</w:t>
      </w:r>
    </w:p>
    <w:p w14:paraId="35B28F7F">
      <w:pPr>
        <w:widowControl/>
        <w:adjustRightInd w:val="0"/>
        <w:snapToGrid w:val="0"/>
        <w:spacing w:line="360" w:lineRule="auto"/>
        <w:ind w:firstLine="560" w:firstLineChars="200"/>
        <w:jc w:val="left"/>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Cs/>
          <w:color w:val="000000"/>
          <w:sz w:val="28"/>
          <w:szCs w:val="28"/>
        </w:rPr>
        <w:t>通过比赛，展示中等职业学校烹饪专业学生的职业素养与操作技能，检验学生的基本功和学以致用方面的技巧与创新能力，引领中等职业院校烹饪专业建设和教学改革，推进专业建设、对接产业发展和人才培养过程深度校企合作，提升中等职业教育人才培养质量和社会认可度与影响力。</w:t>
      </w:r>
    </w:p>
    <w:p w14:paraId="2C09558C">
      <w:pPr>
        <w:widowControl/>
        <w:ind w:firstLine="562" w:firstLineChars="200"/>
        <w:jc w:val="left"/>
        <w:rPr>
          <w:rFonts w:hint="eastAsia" w:ascii="仿宋_GB2312" w:hAnsi="仿宋_GB2312" w:eastAsia="仿宋_GB2312" w:cs="仿宋_GB2312"/>
          <w:b/>
          <w:bCs/>
          <w:sz w:val="28"/>
          <w:szCs w:val="28"/>
        </w:rPr>
      </w:pPr>
      <w:bookmarkStart w:id="0" w:name="_GoBack"/>
      <w:bookmarkEnd w:id="0"/>
      <w:r>
        <w:rPr>
          <w:rFonts w:hint="eastAsia" w:ascii="仿宋_GB2312" w:hAnsi="仿宋_GB2312" w:eastAsia="仿宋_GB2312" w:cs="仿宋_GB2312"/>
          <w:b/>
          <w:bCs/>
          <w:color w:val="000000"/>
          <w:kern w:val="0"/>
          <w:sz w:val="28"/>
          <w:szCs w:val="28"/>
        </w:rPr>
        <w:t>三、竞赛时间、地点</w:t>
      </w:r>
    </w:p>
    <w:tbl>
      <w:tblPr>
        <w:tblStyle w:val="5"/>
        <w:tblpPr w:leftFromText="180" w:rightFromText="180" w:vertAnchor="text" w:horzAnchor="page" w:tblpX="1740" w:tblpY="44"/>
        <w:tblW w:w="5000" w:type="pct"/>
        <w:tblInd w:w="0" w:type="dxa"/>
        <w:tblLayout w:type="autofit"/>
        <w:tblCellMar>
          <w:top w:w="0" w:type="dxa"/>
          <w:left w:w="108" w:type="dxa"/>
          <w:bottom w:w="0" w:type="dxa"/>
          <w:right w:w="108" w:type="dxa"/>
        </w:tblCellMar>
      </w:tblPr>
      <w:tblGrid>
        <w:gridCol w:w="1933"/>
        <w:gridCol w:w="1178"/>
        <w:gridCol w:w="1117"/>
        <w:gridCol w:w="1175"/>
        <w:gridCol w:w="1454"/>
        <w:gridCol w:w="1665"/>
      </w:tblGrid>
      <w:tr w14:paraId="72111285">
        <w:tblPrEx>
          <w:tblCellMar>
            <w:top w:w="0" w:type="dxa"/>
            <w:left w:w="108" w:type="dxa"/>
            <w:bottom w:w="0" w:type="dxa"/>
            <w:right w:w="108" w:type="dxa"/>
          </w:tblCellMar>
        </w:tblPrEx>
        <w:trPr>
          <w:trHeight w:val="298" w:hRule="atLeast"/>
        </w:trPr>
        <w:tc>
          <w:tcPr>
            <w:tcW w:w="1134" w:type="pct"/>
            <w:vMerge w:val="restart"/>
            <w:tcBorders>
              <w:top w:val="single" w:color="auto" w:sz="4" w:space="0"/>
              <w:left w:val="single" w:color="auto" w:sz="4" w:space="0"/>
              <w:bottom w:val="single" w:color="auto" w:sz="4" w:space="0"/>
              <w:right w:val="single" w:color="auto" w:sz="4" w:space="0"/>
            </w:tcBorders>
            <w:vAlign w:val="center"/>
          </w:tcPr>
          <w:p w14:paraId="0BC147E8">
            <w:pPr>
              <w:spacing w:line="28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项  目</w:t>
            </w:r>
          </w:p>
        </w:tc>
        <w:tc>
          <w:tcPr>
            <w:tcW w:w="691" w:type="pct"/>
            <w:vMerge w:val="restart"/>
            <w:tcBorders>
              <w:top w:val="single" w:color="auto" w:sz="4" w:space="0"/>
              <w:left w:val="single" w:color="auto" w:sz="4" w:space="0"/>
              <w:bottom w:val="single" w:color="auto" w:sz="4" w:space="0"/>
              <w:right w:val="single" w:color="auto" w:sz="4" w:space="0"/>
            </w:tcBorders>
            <w:vAlign w:val="center"/>
          </w:tcPr>
          <w:p w14:paraId="68A05237">
            <w:pPr>
              <w:spacing w:line="28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日  期</w:t>
            </w:r>
          </w:p>
        </w:tc>
        <w:tc>
          <w:tcPr>
            <w:tcW w:w="655" w:type="pct"/>
            <w:vMerge w:val="restart"/>
            <w:tcBorders>
              <w:top w:val="single" w:color="auto" w:sz="4" w:space="0"/>
              <w:left w:val="single" w:color="auto" w:sz="4" w:space="0"/>
              <w:bottom w:val="single" w:color="auto" w:sz="4" w:space="0"/>
              <w:right w:val="single" w:color="auto" w:sz="4" w:space="0"/>
            </w:tcBorders>
            <w:vAlign w:val="center"/>
          </w:tcPr>
          <w:p w14:paraId="7232C1AD">
            <w:pPr>
              <w:spacing w:line="28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场  次</w:t>
            </w:r>
          </w:p>
        </w:tc>
        <w:tc>
          <w:tcPr>
            <w:tcW w:w="1542" w:type="pct"/>
            <w:gridSpan w:val="2"/>
            <w:tcBorders>
              <w:top w:val="single" w:color="auto" w:sz="4" w:space="0"/>
              <w:left w:val="single" w:color="auto" w:sz="4" w:space="0"/>
              <w:bottom w:val="single" w:color="auto" w:sz="4" w:space="0"/>
              <w:right w:val="single" w:color="auto" w:sz="4" w:space="0"/>
            </w:tcBorders>
            <w:vAlign w:val="center"/>
          </w:tcPr>
          <w:p w14:paraId="4FD813A1">
            <w:pPr>
              <w:spacing w:line="28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时间安排</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14:paraId="1DFF7574">
            <w:pPr>
              <w:spacing w:line="28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地点</w:t>
            </w:r>
          </w:p>
        </w:tc>
      </w:tr>
      <w:tr w14:paraId="49A6F8B9">
        <w:tblPrEx>
          <w:tblCellMar>
            <w:top w:w="0" w:type="dxa"/>
            <w:left w:w="108" w:type="dxa"/>
            <w:bottom w:w="0" w:type="dxa"/>
            <w:right w:w="108" w:type="dxa"/>
          </w:tblCellMar>
        </w:tblPrEx>
        <w:trPr>
          <w:trHeight w:val="275" w:hRule="atLeast"/>
        </w:trPr>
        <w:tc>
          <w:tcPr>
            <w:tcW w:w="1134" w:type="pct"/>
            <w:vMerge w:val="continue"/>
            <w:tcBorders>
              <w:top w:val="single" w:color="auto" w:sz="4" w:space="0"/>
              <w:left w:val="single" w:color="auto" w:sz="4" w:space="0"/>
              <w:bottom w:val="single" w:color="auto" w:sz="4" w:space="0"/>
              <w:right w:val="single" w:color="auto" w:sz="4" w:space="0"/>
            </w:tcBorders>
            <w:vAlign w:val="center"/>
          </w:tcPr>
          <w:p w14:paraId="5E55A717">
            <w:pPr>
              <w:widowControl/>
              <w:jc w:val="center"/>
              <w:rPr>
                <w:rFonts w:hint="eastAsia" w:ascii="仿宋_GB2312" w:hAnsi="仿宋_GB2312" w:eastAsia="仿宋_GB2312" w:cs="仿宋_GB2312"/>
                <w:b/>
                <w:color w:val="000000"/>
                <w:sz w:val="28"/>
                <w:szCs w:val="28"/>
              </w:rPr>
            </w:pPr>
          </w:p>
        </w:tc>
        <w:tc>
          <w:tcPr>
            <w:tcW w:w="691" w:type="pct"/>
            <w:vMerge w:val="continue"/>
            <w:tcBorders>
              <w:top w:val="single" w:color="auto" w:sz="4" w:space="0"/>
              <w:left w:val="single" w:color="auto" w:sz="4" w:space="0"/>
              <w:bottom w:val="single" w:color="auto" w:sz="4" w:space="0"/>
              <w:right w:val="single" w:color="auto" w:sz="4" w:space="0"/>
            </w:tcBorders>
            <w:vAlign w:val="center"/>
          </w:tcPr>
          <w:p w14:paraId="743AF98C">
            <w:pPr>
              <w:widowControl/>
              <w:jc w:val="center"/>
              <w:rPr>
                <w:rFonts w:hint="eastAsia" w:ascii="仿宋_GB2312" w:hAnsi="仿宋_GB2312" w:eastAsia="仿宋_GB2312" w:cs="仿宋_GB2312"/>
                <w:b/>
                <w:color w:val="000000"/>
                <w:sz w:val="28"/>
                <w:szCs w:val="28"/>
              </w:rPr>
            </w:pPr>
          </w:p>
        </w:tc>
        <w:tc>
          <w:tcPr>
            <w:tcW w:w="655" w:type="pct"/>
            <w:vMerge w:val="continue"/>
            <w:tcBorders>
              <w:top w:val="single" w:color="auto" w:sz="4" w:space="0"/>
              <w:left w:val="single" w:color="auto" w:sz="4" w:space="0"/>
              <w:bottom w:val="single" w:color="auto" w:sz="4" w:space="0"/>
              <w:right w:val="single" w:color="auto" w:sz="4" w:space="0"/>
            </w:tcBorders>
            <w:vAlign w:val="center"/>
          </w:tcPr>
          <w:p w14:paraId="074DCD1D">
            <w:pPr>
              <w:widowControl/>
              <w:jc w:val="center"/>
              <w:rPr>
                <w:rFonts w:hint="eastAsia" w:ascii="仿宋_GB2312" w:hAnsi="仿宋_GB2312" w:eastAsia="仿宋_GB2312" w:cs="仿宋_GB2312"/>
                <w:b/>
                <w:color w:val="000000"/>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14:paraId="740F19DA">
            <w:pPr>
              <w:spacing w:line="28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检录时间</w:t>
            </w:r>
          </w:p>
        </w:tc>
        <w:tc>
          <w:tcPr>
            <w:tcW w:w="853" w:type="pct"/>
            <w:tcBorders>
              <w:top w:val="single" w:color="auto" w:sz="4" w:space="0"/>
              <w:left w:val="single" w:color="auto" w:sz="4" w:space="0"/>
              <w:bottom w:val="single" w:color="auto" w:sz="4" w:space="0"/>
              <w:right w:val="single" w:color="auto" w:sz="4" w:space="0"/>
            </w:tcBorders>
            <w:vAlign w:val="center"/>
          </w:tcPr>
          <w:p w14:paraId="33A89156">
            <w:pPr>
              <w:spacing w:line="28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竞赛时间</w:t>
            </w:r>
          </w:p>
        </w:tc>
        <w:tc>
          <w:tcPr>
            <w:tcW w:w="976" w:type="pct"/>
            <w:vMerge w:val="continue"/>
            <w:tcBorders>
              <w:top w:val="single" w:color="auto" w:sz="4" w:space="0"/>
              <w:left w:val="single" w:color="auto" w:sz="4" w:space="0"/>
              <w:bottom w:val="single" w:color="auto" w:sz="4" w:space="0"/>
              <w:right w:val="single" w:color="auto" w:sz="4" w:space="0"/>
            </w:tcBorders>
            <w:vAlign w:val="center"/>
          </w:tcPr>
          <w:p w14:paraId="4CD55033">
            <w:pPr>
              <w:widowControl/>
              <w:jc w:val="center"/>
              <w:rPr>
                <w:rFonts w:hint="eastAsia" w:ascii="仿宋_GB2312" w:hAnsi="仿宋_GB2312" w:eastAsia="仿宋_GB2312" w:cs="仿宋_GB2312"/>
                <w:b/>
                <w:color w:val="000000"/>
                <w:sz w:val="28"/>
                <w:szCs w:val="28"/>
              </w:rPr>
            </w:pPr>
          </w:p>
        </w:tc>
      </w:tr>
      <w:tr w14:paraId="0BB2D45D">
        <w:tblPrEx>
          <w:tblCellMar>
            <w:top w:w="0" w:type="dxa"/>
            <w:left w:w="108" w:type="dxa"/>
            <w:bottom w:w="0" w:type="dxa"/>
            <w:right w:w="108" w:type="dxa"/>
          </w:tblCellMar>
        </w:tblPrEx>
        <w:trPr>
          <w:trHeight w:val="1322" w:hRule="atLeast"/>
        </w:trPr>
        <w:tc>
          <w:tcPr>
            <w:tcW w:w="1134" w:type="pct"/>
            <w:vMerge w:val="restart"/>
            <w:tcBorders>
              <w:top w:val="single" w:color="auto" w:sz="4" w:space="0"/>
              <w:left w:val="single" w:color="auto" w:sz="4" w:space="0"/>
              <w:right w:val="single" w:color="auto" w:sz="4" w:space="0"/>
            </w:tcBorders>
            <w:vAlign w:val="center"/>
          </w:tcPr>
          <w:p w14:paraId="0CF520BE">
            <w:pPr>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报到</w:t>
            </w:r>
          </w:p>
        </w:tc>
        <w:tc>
          <w:tcPr>
            <w:tcW w:w="691" w:type="pct"/>
            <w:vMerge w:val="restart"/>
            <w:tcBorders>
              <w:top w:val="single" w:color="auto" w:sz="4" w:space="0"/>
              <w:left w:val="single" w:color="auto" w:sz="4" w:space="0"/>
              <w:bottom w:val="single" w:color="auto" w:sz="4" w:space="0"/>
              <w:right w:val="single" w:color="auto" w:sz="4" w:space="0"/>
            </w:tcBorders>
            <w:vAlign w:val="center"/>
          </w:tcPr>
          <w:p w14:paraId="23C6EB69">
            <w:pPr>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待定</w:t>
            </w:r>
          </w:p>
        </w:tc>
        <w:tc>
          <w:tcPr>
            <w:tcW w:w="2197" w:type="pct"/>
            <w:gridSpan w:val="3"/>
            <w:tcBorders>
              <w:top w:val="single" w:color="auto" w:sz="4" w:space="0"/>
              <w:left w:val="single" w:color="auto" w:sz="4" w:space="0"/>
              <w:right w:val="single" w:color="auto" w:sz="4" w:space="0"/>
            </w:tcBorders>
            <w:vAlign w:val="center"/>
          </w:tcPr>
          <w:p w14:paraId="77A35D71">
            <w:pPr>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（报道）</w:t>
            </w:r>
          </w:p>
          <w:p w14:paraId="3E5A68B5">
            <w:pPr>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（赛事说明会）</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14:paraId="250BEC79">
            <w:pPr>
              <w:snapToGrid w:val="0"/>
              <w:spacing w:line="2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1001会议室</w:t>
            </w:r>
          </w:p>
        </w:tc>
      </w:tr>
      <w:tr w14:paraId="48DB42B5">
        <w:tblPrEx>
          <w:tblCellMar>
            <w:top w:w="0" w:type="dxa"/>
            <w:left w:w="108" w:type="dxa"/>
            <w:bottom w:w="0" w:type="dxa"/>
            <w:right w:w="108" w:type="dxa"/>
          </w:tblCellMar>
        </w:tblPrEx>
        <w:trPr>
          <w:trHeight w:val="927" w:hRule="atLeast"/>
        </w:trPr>
        <w:tc>
          <w:tcPr>
            <w:tcW w:w="1134" w:type="pct"/>
            <w:vMerge w:val="restart"/>
            <w:tcBorders>
              <w:top w:val="single" w:color="auto" w:sz="4" w:space="0"/>
              <w:left w:val="single" w:color="auto" w:sz="4" w:space="0"/>
              <w:bottom w:val="single" w:color="auto" w:sz="4" w:space="0"/>
              <w:right w:val="single" w:color="auto" w:sz="4" w:space="0"/>
            </w:tcBorders>
            <w:vAlign w:val="center"/>
          </w:tcPr>
          <w:p w14:paraId="2E0D66C8">
            <w:pPr>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技能测试时间</w:t>
            </w:r>
          </w:p>
        </w:tc>
        <w:tc>
          <w:tcPr>
            <w:tcW w:w="691" w:type="pct"/>
            <w:vMerge w:val="restart"/>
            <w:tcBorders>
              <w:top w:val="single" w:color="auto" w:sz="4" w:space="0"/>
              <w:left w:val="single" w:color="auto" w:sz="4" w:space="0"/>
              <w:right w:val="single" w:color="auto" w:sz="4" w:space="0"/>
            </w:tcBorders>
            <w:vAlign w:val="center"/>
          </w:tcPr>
          <w:p w14:paraId="3086298A">
            <w:pPr>
              <w:snapToGrid w:val="0"/>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待定</w:t>
            </w:r>
          </w:p>
        </w:tc>
        <w:tc>
          <w:tcPr>
            <w:tcW w:w="2197" w:type="pct"/>
            <w:gridSpan w:val="3"/>
            <w:tcBorders>
              <w:top w:val="single" w:color="auto" w:sz="4" w:space="0"/>
              <w:left w:val="single" w:color="auto" w:sz="4" w:space="0"/>
              <w:bottom w:val="single" w:color="auto" w:sz="4" w:space="0"/>
              <w:right w:val="single" w:color="auto" w:sz="4" w:space="0"/>
            </w:tcBorders>
            <w:vAlign w:val="center"/>
          </w:tcPr>
          <w:p w14:paraId="6DDB5227">
            <w:pPr>
              <w:spacing w:line="280" w:lineRule="exact"/>
              <w:ind w:firstLine="1680" w:firstLineChars="6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1小时</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14:paraId="14D85D3D">
            <w:pPr>
              <w:snapToGrid w:val="0"/>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技能测试场地</w:t>
            </w:r>
          </w:p>
        </w:tc>
      </w:tr>
      <w:tr w14:paraId="38108C62">
        <w:tblPrEx>
          <w:tblCellMar>
            <w:top w:w="0" w:type="dxa"/>
            <w:left w:w="108" w:type="dxa"/>
            <w:bottom w:w="0" w:type="dxa"/>
            <w:right w:w="108" w:type="dxa"/>
          </w:tblCellMar>
        </w:tblPrEx>
        <w:trPr>
          <w:trHeight w:val="624" w:hRule="atLeast"/>
        </w:trPr>
        <w:tc>
          <w:tcPr>
            <w:tcW w:w="1134" w:type="pct"/>
            <w:tcBorders>
              <w:top w:val="single" w:color="auto" w:sz="4" w:space="0"/>
              <w:left w:val="single" w:color="auto" w:sz="4" w:space="0"/>
              <w:bottom w:val="single" w:color="auto" w:sz="4" w:space="0"/>
              <w:right w:val="single" w:color="auto" w:sz="4" w:space="0"/>
            </w:tcBorders>
            <w:vAlign w:val="center"/>
          </w:tcPr>
          <w:p w14:paraId="0C29EB88">
            <w:pPr>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作品展出时间</w:t>
            </w:r>
          </w:p>
        </w:tc>
        <w:tc>
          <w:tcPr>
            <w:tcW w:w="691" w:type="pct"/>
            <w:tcBorders>
              <w:top w:val="single" w:color="auto" w:sz="4" w:space="0"/>
              <w:left w:val="single" w:color="auto" w:sz="4" w:space="0"/>
              <w:bottom w:val="single" w:color="auto" w:sz="4" w:space="0"/>
              <w:right w:val="single" w:color="auto" w:sz="4" w:space="0"/>
            </w:tcBorders>
            <w:vAlign w:val="center"/>
          </w:tcPr>
          <w:p w14:paraId="282AA513">
            <w:pPr>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待定</w:t>
            </w:r>
          </w:p>
        </w:tc>
        <w:tc>
          <w:tcPr>
            <w:tcW w:w="2197" w:type="pct"/>
            <w:gridSpan w:val="3"/>
            <w:tcBorders>
              <w:top w:val="single" w:color="auto" w:sz="4" w:space="0"/>
              <w:left w:val="single" w:color="auto" w:sz="4" w:space="0"/>
              <w:bottom w:val="single" w:color="auto" w:sz="4" w:space="0"/>
              <w:right w:val="single" w:color="auto" w:sz="4" w:space="0"/>
            </w:tcBorders>
            <w:vAlign w:val="center"/>
          </w:tcPr>
          <w:p w14:paraId="7A909EF3">
            <w:pPr>
              <w:spacing w:line="2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2小时</w:t>
            </w:r>
          </w:p>
        </w:tc>
        <w:tc>
          <w:tcPr>
            <w:tcW w:w="976" w:type="pct"/>
            <w:tcBorders>
              <w:top w:val="single" w:color="auto" w:sz="4" w:space="0"/>
              <w:left w:val="single" w:color="auto" w:sz="4" w:space="0"/>
              <w:bottom w:val="single" w:color="auto" w:sz="4" w:space="0"/>
              <w:right w:val="single" w:color="auto" w:sz="4" w:space="0"/>
            </w:tcBorders>
            <w:vAlign w:val="center"/>
          </w:tcPr>
          <w:p w14:paraId="5BC04155">
            <w:pPr>
              <w:snapToGrid w:val="0"/>
              <w:spacing w:line="2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展评场地</w:t>
            </w:r>
          </w:p>
        </w:tc>
      </w:tr>
    </w:tbl>
    <w:p w14:paraId="54ADE882">
      <w:pPr>
        <w:widowControl/>
        <w:jc w:val="center"/>
        <w:rPr>
          <w:rFonts w:hint="eastAsia" w:ascii="仿宋_GB2312" w:hAnsi="仿宋_GB2312" w:eastAsia="仿宋_GB2312" w:cs="仿宋_GB2312"/>
          <w:sz w:val="28"/>
          <w:szCs w:val="28"/>
        </w:rPr>
      </w:pPr>
      <w:r>
        <w:rPr>
          <w:rFonts w:hint="eastAsia" w:ascii="仿宋_GB2312" w:hAnsi="仿宋_GB2312" w:eastAsia="仿宋_GB2312" w:cs="仿宋_GB2312"/>
          <w:bCs/>
          <w:color w:val="000000"/>
          <w:sz w:val="28"/>
          <w:szCs w:val="28"/>
        </w:rPr>
        <w:t>（具体竞赛时间以竞赛组委会通知为准）</w:t>
      </w:r>
    </w:p>
    <w:p w14:paraId="47C33DE7">
      <w:pPr>
        <w:widowControl/>
        <w:adjustRightInd w:val="0"/>
        <w:snapToGrid w:val="0"/>
        <w:spacing w:line="360" w:lineRule="auto"/>
        <w:ind w:firstLine="562" w:firstLineChars="200"/>
        <w:jc w:val="left"/>
        <w:rPr>
          <w:rFonts w:hint="eastAsia" w:ascii="仿宋_GB2312" w:hAnsi="仿宋_GB2312" w:eastAsia="仿宋_GB2312" w:cs="仿宋_GB2312"/>
          <w:b/>
          <w:bCs w:val="0"/>
          <w:color w:val="000000"/>
          <w:sz w:val="28"/>
          <w:szCs w:val="28"/>
        </w:rPr>
      </w:pPr>
      <w:r>
        <w:rPr>
          <w:rFonts w:hint="eastAsia" w:ascii="仿宋_GB2312" w:hAnsi="仿宋_GB2312" w:eastAsia="仿宋_GB2312" w:cs="仿宋_GB2312"/>
          <w:b/>
          <w:bCs w:val="0"/>
          <w:color w:val="000000"/>
          <w:sz w:val="28"/>
          <w:szCs w:val="28"/>
          <w:lang w:val="en-US" w:eastAsia="zh-CN"/>
        </w:rPr>
        <w:t>四、</w:t>
      </w:r>
      <w:r>
        <w:rPr>
          <w:rFonts w:hint="eastAsia" w:ascii="仿宋_GB2312" w:hAnsi="仿宋_GB2312" w:eastAsia="仿宋_GB2312" w:cs="仿宋_GB2312"/>
          <w:b/>
          <w:bCs w:val="0"/>
          <w:color w:val="000000"/>
          <w:sz w:val="28"/>
          <w:szCs w:val="28"/>
        </w:rPr>
        <w:t>竞赛内容</w:t>
      </w:r>
    </w:p>
    <w:p w14:paraId="6B113A14">
      <w:pPr>
        <w:widowControl/>
        <w:adjustRightInd w:val="0"/>
        <w:snapToGrid w:val="0"/>
        <w:spacing w:line="360" w:lineRule="auto"/>
        <w:ind w:firstLine="560" w:firstLineChars="200"/>
        <w:jc w:val="lef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参赛队伍根据旅游赛道二餐饮类专业赛道设置，结合中式烹饪（热菜、面点、冷拼雕刻）专业要求，围绕生产、管理、服务一线岗位实际需求和实践要求，立足技能创新，自主确定参赛项目名称，自主设计参赛项目内容，自主选择参赛设备，自主设计项目电子文件和文本文件.</w:t>
      </w:r>
    </w:p>
    <w:p w14:paraId="3FD1B7C1">
      <w:pPr>
        <w:widowControl/>
        <w:adjustRightInd w:val="0"/>
        <w:snapToGrid w:val="0"/>
        <w:spacing w:line="360" w:lineRule="auto"/>
        <w:ind w:firstLine="560" w:firstLineChars="200"/>
        <w:jc w:val="lef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（二）项目呈现</w:t>
      </w:r>
    </w:p>
    <w:p w14:paraId="5AF62BA4">
      <w:pPr>
        <w:widowControl/>
        <w:adjustRightInd w:val="0"/>
        <w:snapToGrid w:val="0"/>
        <w:spacing w:line="360" w:lineRule="auto"/>
        <w:ind w:firstLine="560" w:firstLineChars="200"/>
        <w:jc w:val="lef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参赛队伍依据项目任务，按团队成员分工，同步进行技能操作和现场讲解。技能操作重点展示专业技能熟练程度、规范程度以及解决技术难题的创新能力，现场讲解主要介绍总体思路、技能要点、主要成果、项目创新等。</w:t>
      </w:r>
    </w:p>
    <w:p w14:paraId="08562041">
      <w:pPr>
        <w:widowControl/>
        <w:adjustRightInd w:val="0"/>
        <w:snapToGrid w:val="0"/>
        <w:spacing w:line="360" w:lineRule="auto"/>
        <w:ind w:firstLine="560" w:firstLineChars="200"/>
        <w:jc w:val="lef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本赛每项比赛时长可由各参赛队伍根据项目实际需要确定，不超过1小时，在技能操作的同时，对关键技术环节安排适当讲解对菜品进行展示。</w:t>
      </w:r>
    </w:p>
    <w:p w14:paraId="36B08D03">
      <w:pPr>
        <w:widowControl/>
        <w:adjustRightInd w:val="0"/>
        <w:snapToGrid w:val="0"/>
        <w:spacing w:line="360" w:lineRule="auto"/>
        <w:ind w:firstLine="560" w:firstLineChars="200"/>
        <w:jc w:val="lef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（一）专业技能测试</w:t>
      </w:r>
    </w:p>
    <w:p w14:paraId="6E5E991B">
      <w:pPr>
        <w:widowControl/>
        <w:adjustRightInd w:val="0"/>
        <w:snapToGrid w:val="0"/>
        <w:spacing w:line="360" w:lineRule="auto"/>
        <w:ind w:firstLine="560" w:firstLineChars="200"/>
        <w:jc w:val="lef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参赛团队需要在60分钟内完成面点、冷拼与食雕、中餐热菜三个项目内的相关作品（原料初加工可以在场外完成，关健技术能力必需在现场展示。）</w:t>
      </w:r>
    </w:p>
    <w:p w14:paraId="0A950A01">
      <w:pPr>
        <w:widowControl/>
        <w:adjustRightInd w:val="0"/>
        <w:snapToGrid w:val="0"/>
        <w:spacing w:line="360" w:lineRule="auto"/>
        <w:ind w:firstLine="562" w:firstLineChars="200"/>
        <w:jc w:val="left"/>
        <w:rPr>
          <w:rFonts w:hint="eastAsia" w:ascii="仿宋_GB2312" w:hAnsi="仿宋_GB2312" w:eastAsia="仿宋_GB2312" w:cs="仿宋_GB2312"/>
          <w:bCs/>
          <w:color w:val="000000"/>
          <w:sz w:val="28"/>
          <w:szCs w:val="28"/>
        </w:rPr>
      </w:pPr>
      <w:r>
        <w:rPr>
          <w:rFonts w:hint="eastAsia" w:ascii="仿宋_GB2312" w:hAnsi="仿宋_GB2312" w:eastAsia="仿宋_GB2312" w:cs="仿宋_GB2312"/>
          <w:b/>
          <w:bCs w:val="0"/>
          <w:color w:val="000000"/>
          <w:sz w:val="28"/>
          <w:szCs w:val="28"/>
        </w:rPr>
        <w:t>五、竞赛方式或竞赛规则</w:t>
      </w:r>
    </w:p>
    <w:p w14:paraId="1F5ED71C">
      <w:pPr>
        <w:widowControl/>
        <w:adjustRightInd w:val="0"/>
        <w:snapToGrid w:val="0"/>
        <w:spacing w:line="360" w:lineRule="auto"/>
        <w:ind w:firstLine="560" w:firstLineChars="200"/>
        <w:jc w:val="lef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本次竞赛采用团队比赛的方式进行，每个参赛团队由2-4名选手及两名指导教师组成。参赛选手资格为2023年度在籍中等职业学校学生；参赛选手专业、年龄请参照教育厅指导文件执行，指导老师须为本校专职教师。</w:t>
      </w:r>
    </w:p>
    <w:p w14:paraId="52F9EC01">
      <w:pPr>
        <w:widowControl/>
        <w:adjustRightInd w:val="0"/>
        <w:snapToGrid w:val="0"/>
        <w:spacing w:line="360" w:lineRule="auto"/>
        <w:ind w:firstLine="562" w:firstLineChars="200"/>
        <w:jc w:val="left"/>
        <w:rPr>
          <w:rFonts w:hint="eastAsia" w:ascii="仿宋_GB2312" w:hAnsi="仿宋_GB2312" w:eastAsia="仿宋_GB2312" w:cs="仿宋_GB2312"/>
          <w:b/>
          <w:bCs w:val="0"/>
          <w:color w:val="000000"/>
          <w:sz w:val="28"/>
          <w:szCs w:val="28"/>
        </w:rPr>
      </w:pPr>
      <w:r>
        <w:rPr>
          <w:rFonts w:hint="eastAsia" w:ascii="仿宋_GB2312" w:hAnsi="仿宋_GB2312" w:eastAsia="仿宋_GB2312" w:cs="仿宋_GB2312"/>
          <w:b/>
          <w:bCs w:val="0"/>
          <w:color w:val="000000"/>
          <w:sz w:val="28"/>
          <w:szCs w:val="28"/>
        </w:rPr>
        <w:t>六、竞赛环境</w:t>
      </w:r>
    </w:p>
    <w:p w14:paraId="52F884A6">
      <w:pPr>
        <w:widowControl/>
        <w:adjustRightInd w:val="0"/>
        <w:snapToGrid w:val="0"/>
        <w:spacing w:line="360"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Cs/>
          <w:color w:val="000000"/>
          <w:sz w:val="28"/>
          <w:szCs w:val="28"/>
        </w:rPr>
        <w:t>1.竞赛环境安静、整洁，设立紧急疏散通道、消防设施、医疗服</w:t>
      </w:r>
      <w:r>
        <w:rPr>
          <w:rFonts w:hint="eastAsia" w:ascii="仿宋_GB2312" w:hAnsi="仿宋_GB2312" w:eastAsia="仿宋_GB2312" w:cs="仿宋_GB2312"/>
          <w:color w:val="000000"/>
          <w:kern w:val="0"/>
          <w:sz w:val="28"/>
          <w:szCs w:val="28"/>
        </w:rPr>
        <w:t xml:space="preserve">务站。 </w:t>
      </w:r>
    </w:p>
    <w:p w14:paraId="408391D3">
      <w:pPr>
        <w:widowControl/>
        <w:adjustRightInd w:val="0"/>
        <w:snapToGrid w:val="0"/>
        <w:spacing w:line="360"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 xml:space="preserve">2.所有竞赛赛场地均需设有容纳 20 人同时比赛的工位数，并配有满足比赛各种必需设备设施。 </w:t>
      </w:r>
    </w:p>
    <w:p w14:paraId="690401D5">
      <w:pPr>
        <w:widowControl/>
        <w:adjustRightInd w:val="0"/>
        <w:snapToGrid w:val="0"/>
        <w:spacing w:line="360"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 xml:space="preserve">3.设立作品展评区。展评区面积可容纳本赛项每日参赛队的展示展台。 </w:t>
      </w:r>
    </w:p>
    <w:p w14:paraId="4A80D270">
      <w:pPr>
        <w:widowControl/>
        <w:adjustRightInd w:val="0"/>
        <w:snapToGrid w:val="0"/>
        <w:spacing w:line="360" w:lineRule="auto"/>
        <w:ind w:firstLine="562"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bCs/>
          <w:color w:val="000000"/>
          <w:kern w:val="0"/>
          <w:sz w:val="28"/>
          <w:szCs w:val="28"/>
        </w:rPr>
        <w:t>七、技术规范</w:t>
      </w:r>
    </w:p>
    <w:p w14:paraId="2638B3BC">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参照国家劳动与社会保障部制订的中式烹调师、中式面点师职业资格标准，大赛本着公平、公正、公开的原则，对参赛选手通过烹饪知识、烹饪技能等方面的掌握程度进行全面考核。参赛选手需掌握中餐烹饪岗位群必备的专业知识和操作技能，熟练使用烹饪设备和工具，具备良好的沟通能力、食品生产安全意识和服务意识。</w:t>
      </w:r>
    </w:p>
    <w:p w14:paraId="3A7730C0">
      <w:pPr>
        <w:widowControl/>
        <w:adjustRightInd w:val="0"/>
        <w:snapToGrid w:val="0"/>
        <w:spacing w:line="360" w:lineRule="auto"/>
        <w:ind w:firstLine="562" w:firstLineChars="200"/>
        <w:jc w:val="left"/>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八、技术平台</w:t>
      </w:r>
    </w:p>
    <w:p w14:paraId="1CA026B2">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本次大赛提供操作的必须设备：菜板、蒸笼、蒸箱、电烤箱、冰箱、中餐燃气炒菜灶、操作台、克秤、手勺，大漏勺，密漏，直径25厘米不锈钢蒸笼、白糖、精盐、酱油、料酒、白胡椒粉、花椒粉、香油、味精、色拉油、姜  葱  玉米淀粉。</w:t>
      </w:r>
    </w:p>
    <w:p w14:paraId="42016750">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2.禁止使用国家明令禁止的添加剂和人工合成色素。</w:t>
      </w:r>
    </w:p>
    <w:p w14:paraId="5B192C0B">
      <w:pPr>
        <w:adjustRightInd w:val="0"/>
        <w:snapToGrid w:val="0"/>
        <w:spacing w:line="360" w:lineRule="auto"/>
        <w:ind w:firstLine="562" w:firstLineChars="200"/>
        <w:rPr>
          <w:rFonts w:hint="eastAsia" w:ascii="仿宋_GB2312" w:hAnsi="仿宋_GB2312" w:eastAsia="仿宋_GB2312" w:cs="仿宋_GB2312"/>
          <w:b/>
          <w:bCs w:val="0"/>
          <w:color w:val="000000"/>
          <w:sz w:val="28"/>
          <w:szCs w:val="28"/>
        </w:rPr>
      </w:pPr>
      <w:r>
        <w:rPr>
          <w:rFonts w:hint="eastAsia" w:ascii="仿宋_GB2312" w:hAnsi="仿宋_GB2312" w:eastAsia="仿宋_GB2312" w:cs="仿宋_GB2312"/>
          <w:b/>
          <w:bCs w:val="0"/>
          <w:color w:val="000000"/>
          <w:sz w:val="28"/>
          <w:szCs w:val="28"/>
        </w:rPr>
        <w:t>九、评分办法</w:t>
      </w:r>
    </w:p>
    <w:p w14:paraId="760EACFE">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主要从技能水平、职业素养、应用价值、团队合作、创新创意等五个方面，按权重对参赛队伍做整体评价。</w:t>
      </w:r>
    </w:p>
    <w:p w14:paraId="70D871BC">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 位裁判组成评价团队。其中1 名裁判为统分裁判 8名裁判为单独打分裁判。 8名裁判现场打分。取掉一个最高分和一个最低分的总和成绩为团队最终成绩。成绩现场公布。</w:t>
      </w:r>
    </w:p>
    <w:p w14:paraId="47153C02">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十、奖项设定</w:t>
      </w:r>
    </w:p>
    <w:p w14:paraId="0ACB363C">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bCs/>
          <w:color w:val="000000"/>
          <w:sz w:val="28"/>
          <w:szCs w:val="28"/>
        </w:rPr>
        <w:t>按实际参赛人（队）数的 10%、15%、25%（小数点后四舍五入）分设一、二、三等奖。其他情况按照竞赛规程总则执行。</w:t>
      </w:r>
    </w:p>
    <w:p w14:paraId="6DB7E6B5">
      <w:pPr>
        <w:widowControl/>
        <w:adjustRightInd w:val="0"/>
        <w:snapToGrid w:val="0"/>
        <w:spacing w:line="360" w:lineRule="auto"/>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color w:val="000000"/>
          <w:kern w:val="0"/>
          <w:sz w:val="28"/>
          <w:szCs w:val="28"/>
        </w:rPr>
        <w:t>十一、申诉与仲裁</w:t>
      </w:r>
    </w:p>
    <w:p w14:paraId="2A0DEE71">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 xml:space="preserve">1.各参赛队对不符合赛项规程规定的设备、工装、原料、竞赛使用工具、用品，竞赛执裁、赛场管理、竞赛成绩，以及工作人员的不规范行为等，可向赛项仲裁组提出申诉，申诉主体为参赛队领队。 </w:t>
      </w:r>
    </w:p>
    <w:p w14:paraId="2798BD86">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2.申诉启动时，参赛队向赛项仲裁组递交领队亲笔签字同意的书面报告。书面报告应对申诉事件的现象、发生时间、涉及人员、申诉依据等进行充分、实事求是的叙述。非书面申诉不予受理。</w:t>
      </w:r>
    </w:p>
    <w:p w14:paraId="55FCC631">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 xml:space="preserve">3.提出申诉的时间应在比赛结束后(选手赛场比赛内容全部完成)2 小时内。超过时效不予受理。 </w:t>
      </w:r>
    </w:p>
    <w:p w14:paraId="4E75011D">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4.赛项仲裁组在接到申诉报告后的 2 小时内组织复议，并及时将复议结果以书面形式告知申诉方。申诉方对复议结果仍有异议，可由领队向比赛监督员提出申诉，由监督员传达最终仲裁结果。</w:t>
      </w:r>
    </w:p>
    <w:p w14:paraId="3CDF421D">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 xml:space="preserve">5.申诉方不得以任何理由拒绝接收仲裁结果，不得以任何理由采取过激行为扰乱赛场秩序。仲裁结果由申诉人签收，不能代收，如在约定时间和地点申诉人离开，视为自行放弃申诉。 </w:t>
      </w:r>
    </w:p>
    <w:p w14:paraId="6F43271B">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 xml:space="preserve">6.申诉方可随时提出放弃申诉。 </w:t>
      </w:r>
    </w:p>
    <w:p w14:paraId="6EC308A5">
      <w:pPr>
        <w:adjustRightInd w:val="0"/>
        <w:snapToGrid w:val="0"/>
        <w:spacing w:line="360" w:lineRule="auto"/>
        <w:ind w:firstLine="560" w:firstLineChars="200"/>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color w:val="000000"/>
          <w:kern w:val="0"/>
          <w:sz w:val="28"/>
          <w:szCs w:val="28"/>
        </w:rPr>
        <w:t>十二、</w:t>
      </w:r>
      <w:r>
        <w:rPr>
          <w:rFonts w:hint="eastAsia" w:ascii="仿宋_GB2312" w:hAnsi="仿宋_GB2312" w:eastAsia="仿宋_GB2312" w:cs="仿宋_GB2312"/>
          <w:b/>
          <w:bCs/>
          <w:color w:val="000000"/>
          <w:kern w:val="0"/>
          <w:sz w:val="28"/>
          <w:szCs w:val="28"/>
        </w:rPr>
        <w:t>赛项安全</w:t>
      </w:r>
    </w:p>
    <w:p w14:paraId="3C889AC8">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（一）参赛队须知</w:t>
      </w:r>
    </w:p>
    <w:p w14:paraId="5DED4D7D">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1.各参赛队在领队带领下准时到达大赛的举办地点，及时办理报到手续，领取相关证件及资料，做好赛前准备工作。</w:t>
      </w:r>
    </w:p>
    <w:p w14:paraId="61ED5944">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2.参赛队成员必须购买意外伤害保险方可参加比赛。</w:t>
      </w:r>
    </w:p>
    <w:p w14:paraId="4595F16A">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3.各参赛队应遵守相关规定，树立良好的赛风，确保大赛顺利进行。</w:t>
      </w:r>
    </w:p>
    <w:p w14:paraId="1FB40D51">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（二）指导教师须知</w:t>
      </w:r>
    </w:p>
    <w:p w14:paraId="2702A2B2">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1.指导教师要做好学生的安全防护措施，教育好本队参赛选手遵守赛场规则，贯彻执行赛项组委会的各项规定。</w:t>
      </w:r>
    </w:p>
    <w:p w14:paraId="28C8CD2B">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2.妥善管理本队人员的日常生活及安全，准时、有序地组织好参赛选手按时参赛，并佩戴指导教师证件。</w:t>
      </w:r>
    </w:p>
    <w:p w14:paraId="13FE30EF">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3.比赛期间不得进入比赛现场进行指导。</w:t>
      </w:r>
    </w:p>
    <w:p w14:paraId="448C8FEA">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4.展示作品观摩时间为赛程规定时间为准。</w:t>
      </w:r>
    </w:p>
    <w:p w14:paraId="0CE2E9C3">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（三）参赛选手须知</w:t>
      </w:r>
    </w:p>
    <w:p w14:paraId="03B27E30">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1.参赛选手报名须真实填写信息，凡弄虚作假者，将取消其比赛资格，报到时核验身份证、学生证、保险单。</w:t>
      </w:r>
    </w:p>
    <w:p w14:paraId="1911A4A5">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2.参赛选手须提前半小时到达检录处参加检录比赛过程中应严格遵守赛场纪律，比赛结束后，带好自己的工具，迅速撤离赛场。</w:t>
      </w:r>
    </w:p>
    <w:p w14:paraId="1FB3110C">
      <w:pPr>
        <w:adjustRightInd w:val="0"/>
        <w:snapToGrid w:val="0"/>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4.参赛选手自带餐具、自备原料（现场只提供 色拉油 基本调味品  毛巾  清洁用品）</w:t>
      </w:r>
    </w:p>
    <w:p w14:paraId="35ACB8FE">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bCs/>
          <w:color w:val="000000"/>
          <w:sz w:val="28"/>
          <w:szCs w:val="28"/>
        </w:rPr>
        <w:t>5.参赛选手比赛期间统一戴防护口罩，着白色厨师服、白色围裙、长裤，防滑鞋，着装不得带有企业、学校标志。</w:t>
      </w:r>
    </w:p>
    <w:p w14:paraId="2BDF3832">
      <w:pPr>
        <w:widowControl/>
        <w:adjustRightInd w:val="0"/>
        <w:snapToGrid w:val="0"/>
        <w:spacing w:line="360" w:lineRule="auto"/>
        <w:ind w:firstLine="562"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bCs/>
          <w:color w:val="000000"/>
          <w:kern w:val="0"/>
          <w:sz w:val="28"/>
          <w:szCs w:val="28"/>
        </w:rPr>
        <w:t>十三、其他规定</w:t>
      </w:r>
    </w:p>
    <w:p w14:paraId="5712D364">
      <w:pPr>
        <w:widowControl/>
        <w:adjustRightInd w:val="0"/>
        <w:snapToGrid w:val="0"/>
        <w:spacing w:line="360" w:lineRule="auto"/>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参加观摩的代表必须严格遵守管理规定，遵守大赛纪律，按照大赛组委会的组织有序观摩。比赛 期间，注意赛场安静。凡观摩人员均不得进入赛场内部进行拍照、交流、观看。大赛将设等候休息区，作品展区将在每场比赛评判结束后，对外开放，观摩人员在现场工作人员的指挥下有序进入，允许拍照。</w:t>
      </w:r>
    </w:p>
    <w:p w14:paraId="4B1A44C3">
      <w:pPr>
        <w:widowControl/>
        <w:adjustRightInd w:val="0"/>
        <w:snapToGrid w:val="0"/>
        <w:spacing w:line="360" w:lineRule="auto"/>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2.资源转化</w:t>
      </w:r>
    </w:p>
    <w:p w14:paraId="2485D43E">
      <w:pPr>
        <w:widowControl/>
        <w:adjustRightInd w:val="0"/>
        <w:snapToGrid w:val="0"/>
        <w:spacing w:line="360"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 xml:space="preserve">本赛项资源转化包括基本资源和拓展资源，努力把所转化的成果打造成符合行业标准、契合课程标准、突出技能特色、展现竞赛优势，形成满足职业教育教学需求、体现先进教学模式、反映职业教育先进水平的共享性职业教育教学资源。比赛期间，执委会将安排专业技术人员对比赛过程进行全程、全项目视频录制、图片拍摄和文本采集，按照大赛资源转化技术标准制作成大赛专题片、风采展示片、大赛获奖作品集等共享资源成果。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mZjJlYWM3MDdjMWIxYWVkNWZlYzI0M2I1OTM4Y2MifQ=="/>
    <w:docVar w:name="KSO_WPS_MARK_KEY" w:val="79ae55f7-7823-40f9-af9b-799726d54f27"/>
  </w:docVars>
  <w:rsids>
    <w:rsidRoot w:val="00641F4C"/>
    <w:rsid w:val="00036B6B"/>
    <w:rsid w:val="00170934"/>
    <w:rsid w:val="002C0434"/>
    <w:rsid w:val="00335A3E"/>
    <w:rsid w:val="00373ED4"/>
    <w:rsid w:val="00641F4C"/>
    <w:rsid w:val="008E70FB"/>
    <w:rsid w:val="00A80FD7"/>
    <w:rsid w:val="00A87A93"/>
    <w:rsid w:val="00AB49DA"/>
    <w:rsid w:val="00B01D3E"/>
    <w:rsid w:val="00D417E6"/>
    <w:rsid w:val="00EA5F29"/>
    <w:rsid w:val="00F21A6A"/>
    <w:rsid w:val="00F40C1A"/>
    <w:rsid w:val="00F97FAF"/>
    <w:rsid w:val="0B903ADE"/>
    <w:rsid w:val="0EED6E40"/>
    <w:rsid w:val="1145536B"/>
    <w:rsid w:val="11F06692"/>
    <w:rsid w:val="18984409"/>
    <w:rsid w:val="199155F1"/>
    <w:rsid w:val="2239318C"/>
    <w:rsid w:val="22F96ED9"/>
    <w:rsid w:val="2EFE0B42"/>
    <w:rsid w:val="2FDB716E"/>
    <w:rsid w:val="32DF6F75"/>
    <w:rsid w:val="4B9A0CF6"/>
    <w:rsid w:val="4FAB0853"/>
    <w:rsid w:val="5AC42BEC"/>
    <w:rsid w:val="5D8236D3"/>
    <w:rsid w:val="5F5C5326"/>
    <w:rsid w:val="61402D7D"/>
    <w:rsid w:val="6C292F8D"/>
    <w:rsid w:val="7694622B"/>
    <w:rsid w:val="772F6E82"/>
    <w:rsid w:val="77732DB5"/>
    <w:rsid w:val="7D6A23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5" w:lineRule="auto"/>
      <w:outlineLvl w:val="1"/>
    </w:pPr>
    <w:rPr>
      <w:rFonts w:ascii="Cambria" w:hAnsi="Cambria"/>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0"/>
    <w:rPr>
      <w:b/>
      <w:bCs/>
    </w:rPr>
  </w:style>
  <w:style w:type="character" w:customStyle="1" w:styleId="8">
    <w:name w:val="页眉 Char"/>
    <w:basedOn w:val="6"/>
    <w:link w:val="4"/>
    <w:qFormat/>
    <w:uiPriority w:val="0"/>
    <w:rPr>
      <w:rFonts w:asciiTheme="minorHAnsi" w:hAnsiTheme="minorHAnsi" w:eastAsiaTheme="minorEastAsia" w:cstheme="minorBidi"/>
      <w:kern w:val="2"/>
      <w:sz w:val="18"/>
      <w:szCs w:val="18"/>
    </w:rPr>
  </w:style>
  <w:style w:type="character" w:customStyle="1" w:styleId="9">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6</Pages>
  <Words>2651</Words>
  <Characters>2701</Characters>
  <Lines>20</Lines>
  <Paragraphs>5</Paragraphs>
  <TotalTime>89</TotalTime>
  <ScaleCrop>false</ScaleCrop>
  <LinksUpToDate>false</LinksUpToDate>
  <CharactersWithSpaces>2737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2022-03-03T14:35:00Z</dcterms:created>
  <dc:creator>Administrator</dc:creator>
  <cp:lastModifiedBy>左手无名指1398045354</cp:lastModifiedBy>
  <dcterms:modified xsi:type="dcterms:W3CDTF">2024-11-19T07:17:40Z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E8E9C6180DF54C7AB7296F0A331BA401</vt:lpwstr>
  </property>
</Properties>
</file>