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D9DC2">
      <w:pPr>
        <w:snapToGrid w:val="0"/>
        <w:spacing w:line="540" w:lineRule="exact"/>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2025年兰州市中等职业学校技能大赛</w:t>
      </w:r>
    </w:p>
    <w:p w14:paraId="45A77D6E">
      <w:pPr>
        <w:adjustRightInd w:val="0"/>
        <w:snapToGrid w:val="0"/>
        <w:spacing w:line="360" w:lineRule="auto"/>
        <w:ind w:firstLine="803" w:firstLineChars="200"/>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b/>
          <w:bCs/>
          <w:color w:val="000000"/>
          <w:kern w:val="0"/>
          <w:sz w:val="40"/>
          <w:szCs w:val="40"/>
        </w:rPr>
        <w:t>中职组中点西点赛项竞赛规程</w:t>
      </w:r>
    </w:p>
    <w:p w14:paraId="529607EC">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一、赛项名称</w:t>
      </w:r>
    </w:p>
    <w:p w14:paraId="71D5DAA1">
      <w:pPr>
        <w:adjustRightInd w:val="0"/>
        <w:snapToGrid w:val="0"/>
        <w:spacing w:line="360" w:lineRule="auto"/>
        <w:ind w:firstLine="640" w:firstLineChars="200"/>
        <w:rPr>
          <w:rFonts w:hint="eastAsia" w:ascii="仿宋_GB2312" w:hAnsi="仿宋_GB2312" w:eastAsia="仿宋_GB2312" w:cs="仿宋_GB2312"/>
          <w:b w:val="0"/>
          <w:bCs/>
          <w:color w:val="0C0C0C"/>
          <w:sz w:val="32"/>
          <w:szCs w:val="32"/>
        </w:rPr>
      </w:pPr>
      <w:r>
        <w:rPr>
          <w:rFonts w:hint="eastAsia" w:ascii="仿宋_GB2312" w:hAnsi="仿宋_GB2312" w:eastAsia="仿宋_GB2312" w:cs="仿宋_GB2312"/>
          <w:b w:val="0"/>
          <w:bCs/>
          <w:color w:val="0C0C0C"/>
          <w:sz w:val="32"/>
          <w:szCs w:val="32"/>
        </w:rPr>
        <w:t>赛项名称：中点西点</w:t>
      </w:r>
    </w:p>
    <w:p w14:paraId="27B6AD99">
      <w:pPr>
        <w:adjustRightInd w:val="0"/>
        <w:snapToGrid w:val="0"/>
        <w:spacing w:line="360" w:lineRule="auto"/>
        <w:ind w:firstLine="640" w:firstLineChars="200"/>
        <w:rPr>
          <w:rFonts w:hint="eastAsia" w:ascii="仿宋_GB2312" w:hAnsi="仿宋_GB2312" w:eastAsia="仿宋_GB2312" w:cs="仿宋_GB2312"/>
          <w:b w:val="0"/>
          <w:bCs/>
          <w:color w:val="0C0C0C"/>
          <w:sz w:val="32"/>
          <w:szCs w:val="32"/>
        </w:rPr>
      </w:pPr>
      <w:r>
        <w:rPr>
          <w:rFonts w:hint="eastAsia" w:ascii="仿宋_GB2312" w:hAnsi="仿宋_GB2312" w:eastAsia="仿宋_GB2312" w:cs="仿宋_GB2312"/>
          <w:b w:val="0"/>
          <w:bCs/>
          <w:color w:val="0C0C0C"/>
          <w:sz w:val="32"/>
          <w:szCs w:val="32"/>
        </w:rPr>
        <w:t>英语翻译：</w:t>
      </w:r>
      <w:r>
        <w:rPr>
          <w:rFonts w:hint="eastAsia" w:ascii="仿宋_GB2312" w:hAnsi="仿宋_GB2312" w:eastAsia="仿宋_GB2312" w:cs="仿宋_GB2312"/>
          <w:b w:val="0"/>
          <w:bCs/>
          <w:sz w:val="32"/>
          <w:szCs w:val="32"/>
          <w:lang w:val="zh-CN"/>
        </w:rPr>
        <w:t>cuisine</w:t>
      </w:r>
    </w:p>
    <w:p w14:paraId="2522762B">
      <w:pPr>
        <w:adjustRightInd w:val="0"/>
        <w:snapToGrid w:val="0"/>
        <w:spacing w:line="360" w:lineRule="auto"/>
        <w:ind w:firstLine="640" w:firstLineChars="200"/>
        <w:rPr>
          <w:rFonts w:hint="eastAsia" w:ascii="仿宋_GB2312" w:hAnsi="仿宋_GB2312" w:eastAsia="仿宋_GB2312" w:cs="仿宋_GB2312"/>
          <w:b w:val="0"/>
          <w:bCs/>
          <w:color w:val="0C0C0C"/>
          <w:sz w:val="32"/>
          <w:szCs w:val="32"/>
        </w:rPr>
      </w:pPr>
      <w:r>
        <w:rPr>
          <w:rFonts w:hint="eastAsia" w:ascii="仿宋_GB2312" w:hAnsi="仿宋_GB2312" w:eastAsia="仿宋_GB2312" w:cs="仿宋_GB2312"/>
          <w:b w:val="0"/>
          <w:bCs/>
          <w:color w:val="0C0C0C"/>
          <w:sz w:val="32"/>
          <w:szCs w:val="32"/>
        </w:rPr>
        <w:t>赛项组别：中职组</w:t>
      </w:r>
    </w:p>
    <w:p w14:paraId="55B35F80">
      <w:pPr>
        <w:widowControl/>
        <w:adjustRightInd w:val="0"/>
        <w:snapToGrid w:val="0"/>
        <w:spacing w:line="360" w:lineRule="auto"/>
        <w:ind w:firstLine="640" w:firstLineChars="200"/>
        <w:jc w:val="left"/>
        <w:rPr>
          <w:rFonts w:ascii="宋体" w:hAnsi="宋体" w:eastAsia="宋体" w:cs="楷体_GB2312"/>
          <w:b/>
          <w:bCs/>
          <w:color w:val="000000"/>
          <w:kern w:val="0"/>
          <w:sz w:val="32"/>
          <w:szCs w:val="32"/>
        </w:rPr>
      </w:pPr>
      <w:r>
        <w:rPr>
          <w:rFonts w:hint="eastAsia" w:ascii="仿宋_GB2312" w:hAnsi="仿宋_GB2312" w:eastAsia="仿宋_GB2312" w:cs="仿宋_GB2312"/>
          <w:b w:val="0"/>
          <w:bCs/>
          <w:color w:val="0C0C0C"/>
          <w:sz w:val="32"/>
          <w:szCs w:val="32"/>
        </w:rPr>
        <w:t>赛</w:t>
      </w:r>
      <w:r>
        <w:rPr>
          <w:rFonts w:hint="eastAsia" w:ascii="仿宋_GB2312" w:hAnsi="仿宋_GB2312" w:eastAsia="仿宋_GB2312" w:cs="仿宋_GB2312"/>
          <w:b w:val="0"/>
          <w:bCs/>
          <w:color w:val="000000"/>
          <w:sz w:val="32"/>
          <w:szCs w:val="32"/>
        </w:rPr>
        <w:t>项归属产业：旅游赛道二 餐饮类</w:t>
      </w:r>
    </w:p>
    <w:p w14:paraId="6854CA0F">
      <w:pPr>
        <w:widowControl/>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二、目标任务</w:t>
      </w:r>
    </w:p>
    <w:p w14:paraId="31331EBF">
      <w:pPr>
        <w:widowControl/>
        <w:adjustRightInd w:val="0"/>
        <w:snapToGrid w:val="0"/>
        <w:spacing w:line="360" w:lineRule="auto"/>
        <w:ind w:firstLine="320" w:firstLineChars="1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一）强化大赛综合育人功能。注重对参赛学生的专业技能、职业素养、协同配合、创新意识等进行培养，促进职业学校学生进一步增强实践动手能力、运用专业技能解决现实问题能力，同时提升团队协作能力、应变能力、表达能力等综合能力。</w:t>
      </w:r>
    </w:p>
    <w:p w14:paraId="6907A4FD">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14:paraId="3D1C32AC">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p>
    <w:p w14:paraId="50588503">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p>
    <w:p w14:paraId="20B18DCD">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p>
    <w:p w14:paraId="42E23876">
      <w:pPr>
        <w:widowControl/>
        <w:jc w:val="left"/>
        <w:rPr>
          <w:rFonts w:hint="eastAsia" w:ascii="黑体" w:hAnsi="黑体" w:eastAsia="黑体" w:cs="黑体"/>
          <w:b/>
          <w:bCs/>
          <w:color w:val="000000"/>
          <w:kern w:val="0"/>
          <w:sz w:val="32"/>
          <w:szCs w:val="32"/>
        </w:rPr>
      </w:pPr>
    </w:p>
    <w:p w14:paraId="140207AD">
      <w:pPr>
        <w:widowControl/>
        <w:ind w:firstLine="321" w:firstLineChars="100"/>
        <w:jc w:val="left"/>
        <w:rPr>
          <w:rFonts w:hint="eastAsia" w:ascii="黑体" w:hAnsi="黑体" w:eastAsia="黑体" w:cs="黑体"/>
          <w:b/>
          <w:bCs/>
          <w:sz w:val="32"/>
          <w:szCs w:val="32"/>
        </w:rPr>
      </w:pPr>
      <w:r>
        <w:rPr>
          <w:rFonts w:hint="eastAsia" w:ascii="黑体" w:hAnsi="黑体" w:eastAsia="黑体" w:cs="黑体"/>
          <w:b/>
          <w:bCs/>
          <w:color w:val="000000"/>
          <w:kern w:val="0"/>
          <w:sz w:val="32"/>
          <w:szCs w:val="32"/>
        </w:rPr>
        <w:t>三、竞赛时间、地点</w:t>
      </w:r>
    </w:p>
    <w:tbl>
      <w:tblPr>
        <w:tblStyle w:val="4"/>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3"/>
        <w:gridCol w:w="1178"/>
        <w:gridCol w:w="1117"/>
        <w:gridCol w:w="1175"/>
        <w:gridCol w:w="1454"/>
        <w:gridCol w:w="1665"/>
      </w:tblGrid>
      <w:tr w14:paraId="07D62BFE">
        <w:tblPrEx>
          <w:tblCellMar>
            <w:top w:w="0" w:type="dxa"/>
            <w:left w:w="108" w:type="dxa"/>
            <w:bottom w:w="0" w:type="dxa"/>
            <w:right w:w="108" w:type="dxa"/>
          </w:tblCellMar>
        </w:tblPrEx>
        <w:trPr>
          <w:trHeight w:val="587" w:hRule="atLeast"/>
        </w:trPr>
        <w:tc>
          <w:tcPr>
            <w:tcW w:w="1134" w:type="pct"/>
            <w:vMerge w:val="restart"/>
            <w:tcBorders>
              <w:top w:val="single" w:color="auto" w:sz="4" w:space="0"/>
              <w:left w:val="single" w:color="auto" w:sz="4" w:space="0"/>
              <w:bottom w:val="single" w:color="auto" w:sz="4" w:space="0"/>
              <w:right w:val="single" w:color="auto" w:sz="4" w:space="0"/>
            </w:tcBorders>
            <w:vAlign w:val="center"/>
          </w:tcPr>
          <w:p w14:paraId="07BD1E27">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项  目</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14:paraId="28DF5290">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14:paraId="690D42EB">
            <w:pPr>
              <w:spacing w:line="280" w:lineRule="exact"/>
              <w:jc w:val="center"/>
              <w:rPr>
                <w:rFonts w:hint="eastAsia"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b/>
                <w:sz w:val="32"/>
                <w:szCs w:val="32"/>
              </w:rPr>
              <w:t>场  次</w:t>
            </w:r>
          </w:p>
        </w:tc>
        <w:tc>
          <w:tcPr>
            <w:tcW w:w="1542" w:type="pct"/>
            <w:gridSpan w:val="2"/>
            <w:tcBorders>
              <w:top w:val="single" w:color="auto" w:sz="4" w:space="0"/>
              <w:left w:val="single" w:color="auto" w:sz="4" w:space="0"/>
              <w:bottom w:val="single" w:color="auto" w:sz="4" w:space="0"/>
              <w:right w:val="single" w:color="auto" w:sz="4" w:space="0"/>
            </w:tcBorders>
            <w:vAlign w:val="center"/>
          </w:tcPr>
          <w:p w14:paraId="0AC2EE56">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47BE55AA">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地点</w:t>
            </w:r>
          </w:p>
        </w:tc>
      </w:tr>
      <w:tr w14:paraId="651EE20B">
        <w:tblPrEx>
          <w:tblCellMar>
            <w:top w:w="0" w:type="dxa"/>
            <w:left w:w="108" w:type="dxa"/>
            <w:bottom w:w="0" w:type="dxa"/>
            <w:right w:w="108" w:type="dxa"/>
          </w:tblCellMar>
        </w:tblPrEx>
        <w:trPr>
          <w:trHeight w:val="275" w:hRule="atLeast"/>
        </w:trPr>
        <w:tc>
          <w:tcPr>
            <w:tcW w:w="1134" w:type="pct"/>
            <w:vMerge w:val="continue"/>
            <w:tcBorders>
              <w:top w:val="single" w:color="auto" w:sz="4" w:space="0"/>
              <w:left w:val="single" w:color="auto" w:sz="4" w:space="0"/>
              <w:bottom w:val="single" w:color="auto" w:sz="4" w:space="0"/>
              <w:right w:val="single" w:color="auto" w:sz="4" w:space="0"/>
            </w:tcBorders>
            <w:vAlign w:val="center"/>
          </w:tcPr>
          <w:p w14:paraId="0BEFE473">
            <w:pPr>
              <w:widowControl/>
              <w:jc w:val="center"/>
              <w:rPr>
                <w:rFonts w:hint="eastAsia" w:ascii="仿宋_GB2312" w:hAnsi="仿宋_GB2312" w:eastAsia="仿宋_GB2312" w:cs="仿宋_GB2312"/>
                <w:b/>
                <w:color w:val="000000"/>
                <w:sz w:val="32"/>
                <w:szCs w:val="32"/>
              </w:rPr>
            </w:pPr>
          </w:p>
        </w:tc>
        <w:tc>
          <w:tcPr>
            <w:tcW w:w="691" w:type="pct"/>
            <w:vMerge w:val="continue"/>
            <w:tcBorders>
              <w:top w:val="single" w:color="auto" w:sz="4" w:space="0"/>
              <w:left w:val="single" w:color="auto" w:sz="4" w:space="0"/>
              <w:bottom w:val="single" w:color="auto" w:sz="4" w:space="0"/>
              <w:right w:val="single" w:color="auto" w:sz="4" w:space="0"/>
            </w:tcBorders>
            <w:vAlign w:val="center"/>
          </w:tcPr>
          <w:p w14:paraId="632F9AA3">
            <w:pPr>
              <w:widowControl/>
              <w:jc w:val="center"/>
              <w:rPr>
                <w:rFonts w:hint="eastAsia" w:ascii="仿宋_GB2312" w:hAnsi="仿宋_GB2312" w:eastAsia="仿宋_GB2312" w:cs="仿宋_GB2312"/>
                <w:b/>
                <w:color w:val="000000"/>
                <w:sz w:val="32"/>
                <w:szCs w:val="32"/>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14:paraId="2107BC6D">
            <w:pPr>
              <w:widowControl/>
              <w:jc w:val="center"/>
              <w:rPr>
                <w:rFonts w:hint="eastAsia" w:ascii="仿宋_GB2312" w:hAnsi="仿宋_GB2312" w:eastAsia="仿宋_GB2312" w:cs="仿宋_GB2312"/>
                <w:b/>
                <w:color w:val="000000"/>
                <w:sz w:val="32"/>
                <w:szCs w:val="32"/>
              </w:rPr>
            </w:pPr>
          </w:p>
        </w:tc>
        <w:tc>
          <w:tcPr>
            <w:tcW w:w="689" w:type="pct"/>
            <w:tcBorders>
              <w:top w:val="single" w:color="auto" w:sz="4" w:space="0"/>
              <w:left w:val="single" w:color="auto" w:sz="4" w:space="0"/>
              <w:bottom w:val="single" w:color="auto" w:sz="4" w:space="0"/>
              <w:right w:val="single" w:color="auto" w:sz="4" w:space="0"/>
            </w:tcBorders>
            <w:vAlign w:val="center"/>
          </w:tcPr>
          <w:p w14:paraId="03B82D46">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检录时间</w:t>
            </w:r>
          </w:p>
        </w:tc>
        <w:tc>
          <w:tcPr>
            <w:tcW w:w="853" w:type="pct"/>
            <w:tcBorders>
              <w:top w:val="single" w:color="auto" w:sz="4" w:space="0"/>
              <w:left w:val="single" w:color="auto" w:sz="4" w:space="0"/>
              <w:bottom w:val="single" w:color="auto" w:sz="4" w:space="0"/>
              <w:right w:val="single" w:color="auto" w:sz="4" w:space="0"/>
            </w:tcBorders>
            <w:vAlign w:val="center"/>
          </w:tcPr>
          <w:p w14:paraId="3CEF355A">
            <w:pPr>
              <w:spacing w:line="2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14:paraId="7678FB53">
            <w:pPr>
              <w:widowControl/>
              <w:jc w:val="center"/>
              <w:rPr>
                <w:rFonts w:hint="eastAsia" w:ascii="仿宋_GB2312" w:hAnsi="仿宋_GB2312" w:eastAsia="仿宋_GB2312" w:cs="仿宋_GB2312"/>
                <w:b/>
                <w:color w:val="000000"/>
                <w:sz w:val="32"/>
                <w:szCs w:val="32"/>
              </w:rPr>
            </w:pPr>
          </w:p>
        </w:tc>
      </w:tr>
      <w:tr w14:paraId="01D1FFA9">
        <w:tblPrEx>
          <w:tblCellMar>
            <w:top w:w="0" w:type="dxa"/>
            <w:left w:w="108" w:type="dxa"/>
            <w:bottom w:w="0" w:type="dxa"/>
            <w:right w:w="108" w:type="dxa"/>
          </w:tblCellMar>
        </w:tblPrEx>
        <w:trPr>
          <w:trHeight w:val="1322" w:hRule="atLeast"/>
        </w:trPr>
        <w:tc>
          <w:tcPr>
            <w:tcW w:w="1134" w:type="pct"/>
            <w:vMerge w:val="restart"/>
            <w:tcBorders>
              <w:top w:val="single" w:color="auto" w:sz="4" w:space="0"/>
              <w:left w:val="single" w:color="auto" w:sz="4" w:space="0"/>
              <w:right w:val="single" w:color="auto" w:sz="4" w:space="0"/>
            </w:tcBorders>
            <w:vAlign w:val="center"/>
          </w:tcPr>
          <w:p w14:paraId="2B2D44C3">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报到</w:t>
            </w:r>
          </w:p>
        </w:tc>
        <w:tc>
          <w:tcPr>
            <w:tcW w:w="691" w:type="pct"/>
            <w:vMerge w:val="restart"/>
            <w:tcBorders>
              <w:top w:val="single" w:color="auto" w:sz="4" w:space="0"/>
              <w:left w:val="single" w:color="auto" w:sz="4" w:space="0"/>
              <w:bottom w:val="single" w:color="auto" w:sz="4" w:space="0"/>
              <w:right w:val="single" w:color="auto" w:sz="4" w:space="0"/>
            </w:tcBorders>
            <w:vAlign w:val="center"/>
          </w:tcPr>
          <w:p w14:paraId="4CF128BA">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right w:val="single" w:color="auto" w:sz="4" w:space="0"/>
            </w:tcBorders>
            <w:vAlign w:val="center"/>
          </w:tcPr>
          <w:p w14:paraId="3A6F8339">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（报道）</w:t>
            </w:r>
          </w:p>
          <w:p w14:paraId="47A6E5EA">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（赛事说明会）</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06AD48C0">
            <w:pPr>
              <w:snapToGrid w:val="0"/>
              <w:spacing w:line="2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1001会议室</w:t>
            </w:r>
          </w:p>
        </w:tc>
      </w:tr>
      <w:tr w14:paraId="7293FAED">
        <w:tblPrEx>
          <w:tblCellMar>
            <w:top w:w="0" w:type="dxa"/>
            <w:left w:w="108" w:type="dxa"/>
            <w:bottom w:w="0" w:type="dxa"/>
            <w:right w:w="108" w:type="dxa"/>
          </w:tblCellMar>
        </w:tblPrEx>
        <w:trPr>
          <w:trHeight w:val="927" w:hRule="atLeast"/>
        </w:trPr>
        <w:tc>
          <w:tcPr>
            <w:tcW w:w="1134" w:type="pct"/>
            <w:vMerge w:val="restart"/>
            <w:tcBorders>
              <w:top w:val="single" w:color="auto" w:sz="4" w:space="0"/>
              <w:left w:val="single" w:color="auto" w:sz="4" w:space="0"/>
              <w:bottom w:val="single" w:color="auto" w:sz="4" w:space="0"/>
              <w:right w:val="single" w:color="auto" w:sz="4" w:space="0"/>
            </w:tcBorders>
            <w:vAlign w:val="center"/>
          </w:tcPr>
          <w:p w14:paraId="3282CA6E">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技能测试时间</w:t>
            </w:r>
          </w:p>
        </w:tc>
        <w:tc>
          <w:tcPr>
            <w:tcW w:w="691" w:type="pct"/>
            <w:vMerge w:val="restart"/>
            <w:tcBorders>
              <w:top w:val="single" w:color="auto" w:sz="4" w:space="0"/>
              <w:left w:val="single" w:color="auto" w:sz="4" w:space="0"/>
              <w:right w:val="single" w:color="auto" w:sz="4" w:space="0"/>
            </w:tcBorders>
            <w:vAlign w:val="center"/>
          </w:tcPr>
          <w:p w14:paraId="1BF62011">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0F061A2E">
            <w:pPr>
              <w:spacing w:line="280" w:lineRule="exact"/>
              <w:ind w:firstLine="1280" w:firstLineChars="4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1小时</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14:paraId="3D2DD340">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技能测试场地</w:t>
            </w:r>
          </w:p>
        </w:tc>
      </w:tr>
      <w:tr w14:paraId="042E85EA">
        <w:tblPrEx>
          <w:tblCellMar>
            <w:top w:w="0" w:type="dxa"/>
            <w:left w:w="108" w:type="dxa"/>
            <w:bottom w:w="0" w:type="dxa"/>
            <w:right w:w="108" w:type="dxa"/>
          </w:tblCellMar>
        </w:tblPrEx>
        <w:trPr>
          <w:trHeight w:val="624" w:hRule="atLeast"/>
        </w:trPr>
        <w:tc>
          <w:tcPr>
            <w:tcW w:w="1134" w:type="pct"/>
            <w:tcBorders>
              <w:top w:val="single" w:color="auto" w:sz="4" w:space="0"/>
              <w:left w:val="single" w:color="auto" w:sz="4" w:space="0"/>
              <w:bottom w:val="single" w:color="auto" w:sz="4" w:space="0"/>
              <w:right w:val="single" w:color="auto" w:sz="4" w:space="0"/>
            </w:tcBorders>
            <w:vAlign w:val="center"/>
          </w:tcPr>
          <w:p w14:paraId="1BB9999B">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作品展出时间</w:t>
            </w:r>
          </w:p>
        </w:tc>
        <w:tc>
          <w:tcPr>
            <w:tcW w:w="691" w:type="pct"/>
            <w:tcBorders>
              <w:top w:val="single" w:color="auto" w:sz="4" w:space="0"/>
              <w:left w:val="single" w:color="auto" w:sz="4" w:space="0"/>
              <w:bottom w:val="single" w:color="auto" w:sz="4" w:space="0"/>
              <w:right w:val="single" w:color="auto" w:sz="4" w:space="0"/>
            </w:tcBorders>
            <w:vAlign w:val="center"/>
          </w:tcPr>
          <w:p w14:paraId="6E5E9563">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待定</w:t>
            </w:r>
          </w:p>
        </w:tc>
        <w:tc>
          <w:tcPr>
            <w:tcW w:w="2197" w:type="pct"/>
            <w:gridSpan w:val="3"/>
            <w:tcBorders>
              <w:top w:val="single" w:color="auto" w:sz="4" w:space="0"/>
              <w:left w:val="single" w:color="auto" w:sz="4" w:space="0"/>
              <w:bottom w:val="single" w:color="auto" w:sz="4" w:space="0"/>
              <w:right w:val="single" w:color="auto" w:sz="4" w:space="0"/>
            </w:tcBorders>
            <w:vAlign w:val="center"/>
          </w:tcPr>
          <w:p w14:paraId="62A46694">
            <w:pPr>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2小时</w:t>
            </w:r>
          </w:p>
        </w:tc>
        <w:tc>
          <w:tcPr>
            <w:tcW w:w="976" w:type="pct"/>
            <w:tcBorders>
              <w:top w:val="single" w:color="auto" w:sz="4" w:space="0"/>
              <w:left w:val="single" w:color="auto" w:sz="4" w:space="0"/>
              <w:bottom w:val="single" w:color="auto" w:sz="4" w:space="0"/>
              <w:right w:val="single" w:color="auto" w:sz="4" w:space="0"/>
            </w:tcBorders>
            <w:vAlign w:val="center"/>
          </w:tcPr>
          <w:p w14:paraId="083FFDEC">
            <w:pPr>
              <w:snapToGrid w:val="0"/>
              <w:spacing w:line="2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展评场地</w:t>
            </w:r>
          </w:p>
        </w:tc>
      </w:tr>
    </w:tbl>
    <w:p w14:paraId="3DE4F956">
      <w:pPr>
        <w:widowControl/>
        <w:jc w:val="center"/>
        <w:rPr>
          <w:rFonts w:ascii="宋体" w:hAnsi="宋体" w:eastAsia="宋体"/>
          <w:sz w:val="32"/>
          <w:szCs w:val="32"/>
        </w:rPr>
      </w:pPr>
      <w:r>
        <w:rPr>
          <w:rFonts w:ascii="宋体" w:hAnsi="宋体" w:eastAsia="宋体" w:cs="仿宋"/>
          <w:bCs/>
          <w:color w:val="000000"/>
          <w:sz w:val="32"/>
          <w:szCs w:val="32"/>
        </w:rPr>
        <w:t>（具体竞赛时间以竞赛组委会通知为准）</w:t>
      </w:r>
    </w:p>
    <w:p w14:paraId="2F766B61">
      <w:pPr>
        <w:widowControl/>
        <w:numPr>
          <w:ilvl w:val="0"/>
          <w:numId w:val="0"/>
        </w:numPr>
        <w:adjustRightInd w:val="0"/>
        <w:snapToGrid w:val="0"/>
        <w:spacing w:line="360" w:lineRule="auto"/>
        <w:ind w:firstLine="643" w:firstLineChars="200"/>
        <w:jc w:val="left"/>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lang w:val="en-US" w:eastAsia="zh-CN"/>
        </w:rPr>
        <w:t>四、</w:t>
      </w:r>
      <w:r>
        <w:rPr>
          <w:rFonts w:hint="eastAsia" w:ascii="黑体" w:hAnsi="黑体" w:eastAsia="黑体" w:cs="黑体"/>
          <w:b/>
          <w:bCs/>
          <w:color w:val="000000"/>
          <w:kern w:val="0"/>
          <w:sz w:val="32"/>
          <w:szCs w:val="32"/>
        </w:rPr>
        <w:t>竞赛内容</w:t>
      </w:r>
    </w:p>
    <w:p w14:paraId="2D0C9EB3">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参赛队伍根据旅游赛道二餐饮类专业赛道设置，结合中点西点（2个中点2 个西点）专业要求，围绕生产、管理、服务一线岗位实际需求和实践要求，立足技能创新，自主确定参赛项目名称，自主设计参赛项目内容，自主选择参赛设备自主设计项目电子文件和文本文件.</w:t>
      </w:r>
    </w:p>
    <w:p w14:paraId="79AA2039">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（二）项目呈现</w:t>
      </w:r>
    </w:p>
    <w:p w14:paraId="58F71700">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参赛队伍依据项目任务，按团队成员分工，同步进行技能操作和现场讲解。技能操作重点展示专业技能熟练程度、规范程度以及解决技术难题的创新能力，现场讲解主要介绍总体思路、技能要点、主要成果、项目创新等。</w:t>
      </w:r>
    </w:p>
    <w:p w14:paraId="70129E2C">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本赛每项比赛时长可由各参赛队伍根据项目实际需要确定，不超过1小时，在技能操作的同时，对关键技术环节安排适当讲解和展示。</w:t>
      </w:r>
    </w:p>
    <w:p w14:paraId="631D3C8A">
      <w:pPr>
        <w:adjustRightInd w:val="0"/>
        <w:snapToGrid w:val="0"/>
        <w:spacing w:line="360" w:lineRule="auto"/>
        <w:ind w:firstLine="640" w:firstLineChars="200"/>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color w:val="000000"/>
          <w:sz w:val="32"/>
          <w:szCs w:val="32"/>
        </w:rPr>
        <w:t>（一）专业技能测试</w:t>
      </w:r>
    </w:p>
    <w:p w14:paraId="004ABA48">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参赛团队需要在60分钟内完成中点西点二个项目内的相关作品（2个中点2个西点 原料初加工可以在场外完成，关健技术能力必需在现场展示。）</w:t>
      </w:r>
    </w:p>
    <w:p w14:paraId="5684010B">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黑体" w:hAnsi="黑体" w:eastAsia="黑体" w:cs="黑体"/>
          <w:b w:val="0"/>
          <w:bCs w:val="0"/>
          <w:color w:val="000000"/>
          <w:kern w:val="0"/>
          <w:sz w:val="32"/>
          <w:szCs w:val="32"/>
        </w:rPr>
        <w:t>五、竞赛方式或竞赛规则</w:t>
      </w:r>
    </w:p>
    <w:p w14:paraId="6681AE50">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r>
        <w:rPr>
          <w:rStyle w:val="6"/>
          <w:rFonts w:hint="eastAsia" w:ascii="仿宋_GB2312" w:hAnsi="仿宋_GB2312" w:eastAsia="仿宋_GB2312" w:cs="仿宋_GB2312"/>
          <w:b w:val="0"/>
          <w:bCs w:val="0"/>
          <w:color w:val="000000"/>
          <w:sz w:val="32"/>
          <w:szCs w:val="32"/>
        </w:rPr>
        <w:t>本次竞赛采用团队比赛的方式进行，每个参赛团队由四名选手及两名指导教师组成。</w:t>
      </w:r>
      <w:r>
        <w:rPr>
          <w:rFonts w:hint="eastAsia" w:ascii="仿宋_GB2312" w:hAnsi="仿宋_GB2312" w:eastAsia="仿宋_GB2312" w:cs="仿宋_GB2312"/>
          <w:b w:val="0"/>
          <w:bCs w:val="0"/>
          <w:color w:val="000000"/>
          <w:sz w:val="32"/>
          <w:szCs w:val="32"/>
        </w:rPr>
        <w:t>参赛选手资格为2023年度在籍中等职业学校学生；参赛选手专业、年龄请参照教育厅指导文件执行，指导老师须为本校专职教师。</w:t>
      </w:r>
    </w:p>
    <w:p w14:paraId="5B190351">
      <w:pPr>
        <w:widowControl/>
        <w:adjustRightInd w:val="0"/>
        <w:snapToGrid w:val="0"/>
        <w:spacing w:line="360" w:lineRule="auto"/>
        <w:ind w:firstLine="640"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六、竞赛环境</w:t>
      </w:r>
    </w:p>
    <w:p w14:paraId="7A724FE4">
      <w:pPr>
        <w:widowControl/>
        <w:adjustRightInd w:val="0"/>
        <w:snapToGrid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kern w:val="0"/>
          <w:sz w:val="32"/>
          <w:szCs w:val="32"/>
        </w:rPr>
        <w:t xml:space="preserve">1.竞赛环境安静、整洁，设立紧急疏散通道、消防设施、医疗服务站。 </w:t>
      </w:r>
    </w:p>
    <w:p w14:paraId="068AB470">
      <w:pPr>
        <w:widowControl/>
        <w:adjustRightInd w:val="0"/>
        <w:snapToGrid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kern w:val="0"/>
          <w:sz w:val="32"/>
          <w:szCs w:val="32"/>
        </w:rPr>
        <w:t xml:space="preserve">2.所有竞赛赛场地均需设有容纳 20 人同时比赛的工位数，并配有满足比赛各种必需设备设施。 </w:t>
      </w:r>
    </w:p>
    <w:p w14:paraId="568668BE">
      <w:pPr>
        <w:widowControl/>
        <w:adjustRightInd w:val="0"/>
        <w:snapToGrid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kern w:val="0"/>
          <w:sz w:val="32"/>
          <w:szCs w:val="32"/>
        </w:rPr>
        <w:t xml:space="preserve">3.比赛场地附近设评判室，满足所有裁判员同时进行作品打分。 </w:t>
      </w:r>
    </w:p>
    <w:p w14:paraId="531AE8BE">
      <w:pPr>
        <w:widowControl/>
        <w:adjustRightInd w:val="0"/>
        <w:snapToGrid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kern w:val="0"/>
          <w:sz w:val="32"/>
          <w:szCs w:val="32"/>
        </w:rPr>
        <w:t>4.设立作品展评区。展评区面积可容纳本赛项每日参赛队的展示</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 xml:space="preserve">  </w:t>
      </w:r>
    </w:p>
    <w:p w14:paraId="2E2F103C">
      <w:pPr>
        <w:widowControl/>
        <w:adjustRightInd w:val="0"/>
        <w:snapToGrid w:val="0"/>
        <w:spacing w:line="360" w:lineRule="auto"/>
        <w:ind w:firstLine="640"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七、技术规范</w:t>
      </w:r>
    </w:p>
    <w:p w14:paraId="4D80A230">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14:paraId="4B0A0926">
      <w:pPr>
        <w:widowControl/>
        <w:adjustRightInd w:val="0"/>
        <w:snapToGrid w:val="0"/>
        <w:spacing w:line="360" w:lineRule="auto"/>
        <w:ind w:firstLine="640"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八、技术平台</w:t>
      </w:r>
    </w:p>
    <w:p w14:paraId="18FCE6FD">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本次大赛提供操作的必须设备：菜板、蒸笼、蒸箱、电烤箱、冰箱、中餐燃气炒菜灶、操作台、克秤、手勺，大漏勺，密漏，直径25厘米不锈钢蒸笼、白糖、精盐、酱油、料酒、白胡椒粉、花椒粉、香油、味精、色拉油、姜  葱  玉米淀粉。</w:t>
      </w:r>
    </w:p>
    <w:p w14:paraId="659903B0">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2.禁止使用国家明令禁止的添加剂和人工合成色素。</w:t>
      </w:r>
    </w:p>
    <w:p w14:paraId="0CA4F55D">
      <w:pPr>
        <w:widowControl/>
        <w:adjustRightInd w:val="0"/>
        <w:snapToGrid w:val="0"/>
        <w:spacing w:line="360" w:lineRule="auto"/>
        <w:ind w:firstLine="640"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九、评分办法</w:t>
      </w:r>
    </w:p>
    <w:p w14:paraId="0403E328">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主要从技能水平、职业素养、应用价值、团队合作、创新创意等五个方面，按权重对参赛队伍做整体评价。</w:t>
      </w:r>
    </w:p>
    <w:p w14:paraId="09D08461">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9 位裁判组成评价团队。其中1 名裁判为统分裁判 8名裁判为单独打分裁判。 8名裁判现场打分。取掉一个最高分和一个最低分的总和成绩为团队最终成绩。成绩现场公布。</w:t>
      </w:r>
    </w:p>
    <w:p w14:paraId="59733327">
      <w:pPr>
        <w:widowControl/>
        <w:adjustRightInd w:val="0"/>
        <w:snapToGrid w:val="0"/>
        <w:spacing w:line="360" w:lineRule="auto"/>
        <w:ind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color w:val="000000"/>
          <w:kern w:val="0"/>
          <w:sz w:val="32"/>
          <w:szCs w:val="32"/>
        </w:rPr>
        <w:t>十、奖项设定</w:t>
      </w:r>
    </w:p>
    <w:p w14:paraId="57A23DB1">
      <w:pPr>
        <w:adjustRightInd w:val="0"/>
        <w:snapToGrid w:val="0"/>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按实际参赛人（队）数的 10%、15%、25%（小数点后四舍五入）分设一、二、三等奖。其他情况按照竞赛规程总则执行。</w:t>
      </w:r>
    </w:p>
    <w:p w14:paraId="2529E843">
      <w:pPr>
        <w:widowControl/>
        <w:adjustRightInd w:val="0"/>
        <w:snapToGrid w:val="0"/>
        <w:spacing w:line="360" w:lineRule="auto"/>
        <w:ind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color w:val="000000"/>
          <w:kern w:val="0"/>
          <w:sz w:val="32"/>
          <w:szCs w:val="32"/>
        </w:rPr>
        <w:t>十一、申诉与仲裁</w:t>
      </w:r>
    </w:p>
    <w:p w14:paraId="6E5C9985">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 xml:space="preserve">1.各参赛队对不符合赛项规程规定的设备、原料、竞赛使用工具、用品，竞赛执裁、赛场管理、竞赛成绩，以及工作人员的不规范行为等，可向赛项仲裁组提出申诉，申诉主体为参赛队领队。 </w:t>
      </w:r>
    </w:p>
    <w:p w14:paraId="62CCDB27">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2.申诉启动时，参赛队向赛项仲裁组递交领队亲笔签字同意的书面报告。书面报告应对申诉事件的现象、发生时间、涉及人员、申诉依据等进行充分、实事求是的叙述。非书面申诉不予受理。</w:t>
      </w:r>
    </w:p>
    <w:p w14:paraId="326F8F66">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 xml:space="preserve">3.提出申诉的时间应在比赛结束后(选手赛场比赛内容全部完成)2 小时内。超过时效不予受理。 </w:t>
      </w:r>
    </w:p>
    <w:p w14:paraId="4700A081">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4.赛项仲裁组在接到申诉报告后的 2 小时内组织复议，并及时将复议结果以书面形式告知申诉方。申诉方对复议结果仍有异议，可由领队向比赛监督员提出申诉，由监督员传达最终仲裁结果。</w:t>
      </w:r>
    </w:p>
    <w:p w14:paraId="20F94787">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 xml:space="preserve">5.申诉方不得以任何理由拒绝接收仲裁结果，不得以任何理由采取过激行为扰乱赛场秩序。仲裁结果由申诉人签收，不能代收，如在约定时间和地点申诉人离开，视为自行放弃申诉。 </w:t>
      </w:r>
    </w:p>
    <w:p w14:paraId="04BEEDFC">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 xml:space="preserve">6.申诉方可随时提出放弃申诉。 </w:t>
      </w:r>
    </w:p>
    <w:p w14:paraId="394FFB24">
      <w:pPr>
        <w:adjustRightInd w:val="0"/>
        <w:snapToGrid w:val="0"/>
        <w:spacing w:line="360" w:lineRule="auto"/>
        <w:ind w:firstLine="640" w:firstLineChars="200"/>
        <w:rPr>
          <w:rFonts w:hint="eastAsia" w:ascii="仿宋_GB2312" w:hAnsi="仿宋_GB2312" w:eastAsia="仿宋_GB2312" w:cs="仿宋_GB2312"/>
          <w:b w:val="0"/>
          <w:bCs w:val="0"/>
          <w:color w:val="000000"/>
          <w:kern w:val="0"/>
          <w:sz w:val="32"/>
          <w:szCs w:val="32"/>
        </w:rPr>
      </w:pPr>
      <w:r>
        <w:rPr>
          <w:rFonts w:hint="eastAsia" w:ascii="黑体" w:hAnsi="黑体" w:eastAsia="黑体" w:cs="黑体"/>
          <w:b w:val="0"/>
          <w:bCs w:val="0"/>
          <w:color w:val="000000"/>
          <w:kern w:val="0"/>
          <w:sz w:val="32"/>
          <w:szCs w:val="32"/>
        </w:rPr>
        <w:t>十二、赛项安全</w:t>
      </w:r>
    </w:p>
    <w:p w14:paraId="6FEE471E">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（一）参赛队须知</w:t>
      </w:r>
    </w:p>
    <w:p w14:paraId="7BE2957E">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1.各参赛队在领队带领下准时到达大赛的举办地点，及时办理报到手续，领取相关证件及资料，做好赛前准备工作。</w:t>
      </w:r>
    </w:p>
    <w:p w14:paraId="2E62280C">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2.参赛队成员必须购买意外伤害保险方可参加比赛。</w:t>
      </w:r>
    </w:p>
    <w:p w14:paraId="507B3F5F">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3.各参赛队应遵守相关规定，树立良好的赛风，确保大赛顺利进行。</w:t>
      </w:r>
    </w:p>
    <w:p w14:paraId="434063C8">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（二）指导教师须知</w:t>
      </w:r>
    </w:p>
    <w:p w14:paraId="41E92BB2">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1.指导教师要做好学生的安全防护措施，教育好本队参赛选手遵守赛场规则，贯彻执行赛项组委会的各项规定。</w:t>
      </w:r>
    </w:p>
    <w:p w14:paraId="020DDAB6">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2.妥善管理本队人员的日常生活及安全，准时、有序地组织好参赛选手按时参赛，并佩戴指导教师证件。</w:t>
      </w:r>
    </w:p>
    <w:p w14:paraId="4987D6FA">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3.比赛期间不得进入比赛现场进行指导。</w:t>
      </w:r>
    </w:p>
    <w:p w14:paraId="75991E79">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4.展示作品观摩时间为赛程规定时间为准，观摩人员要求佩戴口罩。</w:t>
      </w:r>
    </w:p>
    <w:p w14:paraId="2AC10AAD">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（三）参赛选手须知</w:t>
      </w:r>
    </w:p>
    <w:p w14:paraId="17880C3F">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1.参赛选手报名须真实填写信息，凡弄虚作假者，将取消其比赛资格，报到时核验身份证、学生证、保险单。</w:t>
      </w:r>
    </w:p>
    <w:p w14:paraId="6C1D459C">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2.参赛选手须提前半小时到达检录处参加检录比赛过程中应严格遵守赛场纪律，比赛结束后，带好自己的工具，迅速撤离赛场。</w:t>
      </w:r>
    </w:p>
    <w:p w14:paraId="501D582E">
      <w:pPr>
        <w:adjustRightInd w:val="0"/>
        <w:snapToGrid w:val="0"/>
        <w:spacing w:line="360" w:lineRule="auto"/>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4.参赛选手自带餐具、自备原料（现场只提供 色拉油 基本调味品  毛巾  清洁用品）</w:t>
      </w:r>
    </w:p>
    <w:p w14:paraId="1B4E456A">
      <w:pPr>
        <w:adjustRightInd w:val="0"/>
        <w:snapToGrid w:val="0"/>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5.参赛选手比赛期间统一戴防护口罩，着白色厨师服、白色围裙、长裤，防滑鞋，着装不得带有企业、学校标志。</w:t>
      </w:r>
    </w:p>
    <w:p w14:paraId="682E4EA2">
      <w:pPr>
        <w:widowControl/>
        <w:adjustRightInd w:val="0"/>
        <w:snapToGrid w:val="0"/>
        <w:spacing w:line="360" w:lineRule="auto"/>
        <w:ind w:firstLine="640" w:firstLineChars="200"/>
        <w:jc w:val="left"/>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十三、其他规定</w:t>
      </w:r>
    </w:p>
    <w:p w14:paraId="18CA4AAD">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1.竞赛观摩</w:t>
      </w:r>
    </w:p>
    <w:p w14:paraId="4098CF56">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参加观摩的代表必须严格遵守管理规定，遵守大赛纪律，按照大赛组委会的组织有序观摩。比赛期间，注意赛场安静。凡观摩人员均不得进入赛场内部进行拍照、交流、观看。大赛将设等候休息区，作品展区将在每场比赛评判结束后，对外开放，观摩人员在现场工作人员的指挥下有序进入，允许拍照。</w:t>
      </w:r>
    </w:p>
    <w:p w14:paraId="377B5BDA">
      <w:pPr>
        <w:widowControl/>
        <w:adjustRightInd w:val="0"/>
        <w:snapToGrid w:val="0"/>
        <w:spacing w:line="360" w:lineRule="auto"/>
        <w:ind w:firstLine="640" w:firstLineChars="20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2.资源转化</w:t>
      </w:r>
    </w:p>
    <w:p w14:paraId="5FD0E169">
      <w:pPr>
        <w:widowControl/>
        <w:adjustRightInd w:val="0"/>
        <w:snapToGrid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kern w:val="0"/>
          <w:sz w:val="32"/>
          <w:szCs w:val="32"/>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mZjJlYWM3MDdjMWIxYWVkNWZlYzI0M2I1OTM4Y2MifQ=="/>
    <w:docVar w:name="KSO_WPS_MARK_KEY" w:val="c45af6c6-3262-4160-a9fd-d35188b23106"/>
  </w:docVars>
  <w:rsids>
    <w:rsidRoot w:val="00641F4C"/>
    <w:rsid w:val="00036B6B"/>
    <w:rsid w:val="000B2B34"/>
    <w:rsid w:val="000D292C"/>
    <w:rsid w:val="002C0434"/>
    <w:rsid w:val="00335A3E"/>
    <w:rsid w:val="00373ED4"/>
    <w:rsid w:val="003D44ED"/>
    <w:rsid w:val="00470BB3"/>
    <w:rsid w:val="00641F4C"/>
    <w:rsid w:val="008E6968"/>
    <w:rsid w:val="00A24DA4"/>
    <w:rsid w:val="00A4735C"/>
    <w:rsid w:val="00A80FD7"/>
    <w:rsid w:val="00A87A93"/>
    <w:rsid w:val="00AB49DA"/>
    <w:rsid w:val="00AE49EE"/>
    <w:rsid w:val="00B01D3E"/>
    <w:rsid w:val="00EA5F29"/>
    <w:rsid w:val="00F21A6A"/>
    <w:rsid w:val="00F40C1A"/>
    <w:rsid w:val="00F97FAF"/>
    <w:rsid w:val="0B903ADE"/>
    <w:rsid w:val="0EED6E40"/>
    <w:rsid w:val="11F06692"/>
    <w:rsid w:val="1BD37386"/>
    <w:rsid w:val="2239318C"/>
    <w:rsid w:val="22F96ED9"/>
    <w:rsid w:val="2EFE0B42"/>
    <w:rsid w:val="44285164"/>
    <w:rsid w:val="4FAB0853"/>
    <w:rsid w:val="686A4DB7"/>
    <w:rsid w:val="7694622B"/>
    <w:rsid w:val="772F6E82"/>
    <w:rsid w:val="77732DB5"/>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7</Pages>
  <Words>2685</Words>
  <Characters>2735</Characters>
  <Lines>20</Lines>
  <Paragraphs>5</Paragraphs>
  <TotalTime>19</TotalTime>
  <ScaleCrop>false</ScaleCrop>
  <LinksUpToDate>false</LinksUpToDate>
  <CharactersWithSpaces>2774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左手无名指1398045354</cp:lastModifiedBy>
  <dcterms:modified xsi:type="dcterms:W3CDTF">2024-11-19T07:16:54Z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5B325111429C4A9197C56EE95D758AC8</vt:lpwstr>
  </property>
</Properties>
</file>