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360" w:lineRule="auto"/>
        <w:jc w:val="center"/>
        <w:rPr>
          <w:rFonts w:hint="eastAsia" w:ascii="方正小标宋简体" w:hAnsi="方正小标宋简体" w:eastAsia="方正小标宋简体" w:cs="方正小标宋简体"/>
          <w:b/>
          <w:sz w:val="40"/>
          <w:szCs w:val="40"/>
        </w:rPr>
      </w:pPr>
      <w:r>
        <w:rPr>
          <w:rFonts w:hint="eastAsia" w:ascii="方正小标宋简体" w:hAnsi="方正小标宋简体" w:eastAsia="方正小标宋简体" w:cs="方正小标宋简体"/>
          <w:b/>
          <w:sz w:val="40"/>
          <w:szCs w:val="40"/>
        </w:rPr>
        <w:t>22025年兰州市中等职业学校技能大赛</w:t>
      </w:r>
    </w:p>
    <w:p>
      <w:pPr>
        <w:snapToGrid w:val="0"/>
        <w:spacing w:line="360" w:lineRule="auto"/>
        <w:jc w:val="center"/>
        <w:rPr>
          <w:rFonts w:hint="eastAsia" w:ascii="方正小标宋简体" w:hAnsi="方正小标宋简体" w:eastAsia="方正小标宋简体" w:cs="方正小标宋简体"/>
          <w:b/>
          <w:sz w:val="40"/>
          <w:szCs w:val="40"/>
        </w:rPr>
      </w:pPr>
      <w:r>
        <w:rPr>
          <w:rFonts w:hint="eastAsia" w:ascii="方正小标宋简体" w:hAnsi="方正小标宋简体" w:eastAsia="方正小标宋简体" w:cs="方正小标宋简体"/>
          <w:b/>
          <w:sz w:val="40"/>
          <w:szCs w:val="40"/>
        </w:rPr>
        <w:t>赛项规程</w:t>
      </w:r>
    </w:p>
    <w:p>
      <w:pPr>
        <w:numPr>
          <w:ilvl w:val="0"/>
          <w:numId w:val="0"/>
        </w:numPr>
        <w:spacing w:line="560" w:lineRule="exact"/>
        <w:ind w:firstLine="643" w:firstLineChars="200"/>
        <w:rPr>
          <w:rFonts w:hint="eastAsia" w:ascii="黑体" w:hAnsi="黑体" w:eastAsia="黑体" w:cs="黑体"/>
          <w:b/>
          <w:bCs/>
          <w:sz w:val="32"/>
          <w:szCs w:val="32"/>
        </w:rPr>
      </w:pPr>
      <w:bookmarkStart w:id="0" w:name="_GoBack"/>
      <w:bookmarkEnd w:id="0"/>
      <w:r>
        <w:rPr>
          <w:rFonts w:hint="eastAsia" w:ascii="黑体" w:hAnsi="黑体" w:eastAsia="黑体" w:cs="黑体"/>
          <w:b/>
          <w:bCs/>
          <w:sz w:val="32"/>
          <w:szCs w:val="32"/>
          <w:lang w:val="en-US" w:eastAsia="zh-CN"/>
        </w:rPr>
        <w:t>一、</w:t>
      </w:r>
      <w:r>
        <w:rPr>
          <w:rFonts w:hint="eastAsia" w:ascii="黑体" w:hAnsi="黑体" w:eastAsia="黑体" w:cs="黑体"/>
          <w:b/>
          <w:bCs/>
          <w:sz w:val="32"/>
          <w:szCs w:val="32"/>
        </w:rPr>
        <w:t>赛项名称：</w:t>
      </w:r>
    </w:p>
    <w:p>
      <w:pPr>
        <w:spacing w:line="560" w:lineRule="exact"/>
        <w:ind w:firstLine="640"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t>赛项名称：会计电算化</w:t>
      </w:r>
    </w:p>
    <w:p>
      <w:pPr>
        <w:spacing w:line="560" w:lineRule="exact"/>
        <w:ind w:left="59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英文名称：ACCOUNTING COMPUTERIZATION</w:t>
      </w:r>
    </w:p>
    <w:p>
      <w:pPr>
        <w:spacing w:line="560" w:lineRule="exact"/>
        <w:ind w:left="59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赛项组别：中职学生组</w:t>
      </w:r>
    </w:p>
    <w:p>
      <w:pPr>
        <w:spacing w:line="560" w:lineRule="exact"/>
        <w:ind w:left="59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赛项归属：财经商贸类</w:t>
      </w:r>
    </w:p>
    <w:p>
      <w:pPr>
        <w:spacing w:line="560" w:lineRule="exact"/>
        <w:ind w:firstLine="643" w:firstLineChars="200"/>
        <w:rPr>
          <w:rFonts w:hint="eastAsia" w:ascii="黑体" w:hAnsi="黑体" w:eastAsia="黑体" w:cs="黑体"/>
          <w:b/>
          <w:bCs/>
          <w:sz w:val="32"/>
          <w:szCs w:val="32"/>
        </w:rPr>
      </w:pPr>
      <w:r>
        <w:rPr>
          <w:rFonts w:hint="eastAsia" w:ascii="黑体" w:hAnsi="黑体" w:eastAsia="黑体" w:cs="黑体"/>
          <w:b/>
          <w:bCs/>
          <w:sz w:val="32"/>
          <w:szCs w:val="32"/>
        </w:rPr>
        <w:t>二、竞赛目的</w:t>
      </w:r>
    </w:p>
    <w:p>
      <w:pPr>
        <w:adjustRightInd w:val="0"/>
        <w:snapToGrid w:val="0"/>
        <w:spacing w:line="560" w:lineRule="exact"/>
        <w:ind w:firstLine="640" w:firstLineChars="20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通过竞赛，检验和展示中等职业学校学生会计电算化操作技能，引领和促进中等职业学校会计专业教育教学改革，激发和调动行业企业关注和参与会计专业教育教学改革的主动性和积极性，推动提升中等职业学校会计职业人才培养水平。同时为参加2025年甘肃省中等职业学校技能大赛做好选手选拔工作。</w:t>
      </w:r>
    </w:p>
    <w:p>
      <w:pPr>
        <w:spacing w:line="560" w:lineRule="exact"/>
        <w:ind w:firstLine="643" w:firstLineChars="200"/>
        <w:rPr>
          <w:rFonts w:hint="eastAsia" w:ascii="黑体" w:hAnsi="黑体" w:eastAsia="黑体" w:cs="黑体"/>
          <w:b/>
          <w:bCs/>
          <w:sz w:val="32"/>
          <w:szCs w:val="32"/>
        </w:rPr>
      </w:pPr>
      <w:r>
        <w:rPr>
          <w:rFonts w:hint="eastAsia" w:ascii="黑体" w:hAnsi="黑体" w:eastAsia="黑体" w:cs="黑体"/>
          <w:b/>
          <w:bCs/>
          <w:sz w:val="32"/>
          <w:szCs w:val="32"/>
        </w:rPr>
        <w:t>三、竞赛方式与内容</w:t>
      </w:r>
    </w:p>
    <w:p>
      <w:pPr>
        <w:adjustRightInd w:val="0"/>
        <w:snapToGrid w:val="0"/>
        <w:spacing w:line="560" w:lineRule="exact"/>
        <w:ind w:firstLine="640" w:firstLineChars="20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“会计电算化”赛项为个人赛，每名选手参加会计电算化操作一项内容比赛。每名选手限报1名指导教师。</w:t>
      </w:r>
    </w:p>
    <w:p>
      <w:pPr>
        <w:adjustRightInd w:val="0"/>
        <w:snapToGrid w:val="0"/>
        <w:spacing w:line="560" w:lineRule="exact"/>
        <w:ind w:firstLine="640" w:firstLineChars="200"/>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1.会计电算化操作</w:t>
      </w:r>
    </w:p>
    <w:p>
      <w:pPr>
        <w:adjustRightInd w:val="0"/>
        <w:snapToGrid w:val="0"/>
        <w:spacing w:line="560" w:lineRule="exact"/>
        <w:ind w:firstLine="640" w:firstLineChars="20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资料模拟某一商品流通企业或制造业企业一个月的30-40笔经济业务，执行《企业会计准则》和现行税法和财政部会计基础工作规范处理经济业务，运用记账凭证核算程序，选手根据题目要求完成相关业务处理。</w:t>
      </w:r>
    </w:p>
    <w:p>
      <w:pPr>
        <w:pStyle w:val="2"/>
        <w:spacing w:line="600" w:lineRule="exact"/>
        <w:ind w:firstLine="640" w:firstLineChars="20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竞赛软件采用新道VBSE财务信息化竞赛平台（U810.1），启用总账、薪资管理、固定资产、应收款管理、应付款管理、财务报表、采购管理、销售管理、库存管理和存货核算模块，业务处理按要求在相应的模块中完成。基本操作包括初始设置、填制和审核相关业务单据及原始凭证、编制记账凭证、审核记账凭证、记账、对账并结账、编制资产负债表和利润表等。具体内容包括：</w:t>
      </w:r>
    </w:p>
    <w:p>
      <w:pPr>
        <w:pStyle w:val="2"/>
        <w:spacing w:line="600" w:lineRule="exact"/>
        <w:ind w:firstLine="640" w:firstLineChars="20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1.系统管理与基础档案。操作员及其权限设置、上机日志；设置部门档案、职员档案、客户与供应商分类、客户与供应商档案、仓库档案、存货分类与存货档案等。</w:t>
      </w:r>
    </w:p>
    <w:p>
      <w:pPr>
        <w:pStyle w:val="2"/>
        <w:spacing w:line="600" w:lineRule="exact"/>
        <w:ind w:firstLine="640" w:firstLineChars="20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2.总账系统：包括初始设置、日常业务处理和期末处理。</w:t>
      </w:r>
    </w:p>
    <w:p>
      <w:pPr>
        <w:pStyle w:val="2"/>
        <w:spacing w:line="600" w:lineRule="exact"/>
        <w:ind w:firstLine="640" w:firstLineChars="20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3.薪资管理：包括初始设置、业务处理和期末处理。</w:t>
      </w:r>
    </w:p>
    <w:p>
      <w:pPr>
        <w:pStyle w:val="2"/>
        <w:spacing w:line="600" w:lineRule="exact"/>
        <w:ind w:firstLine="640" w:firstLineChars="20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4.固定资产：包括初始设置、业务处理和期末处理。</w:t>
      </w:r>
    </w:p>
    <w:p>
      <w:pPr>
        <w:pStyle w:val="2"/>
        <w:spacing w:line="600" w:lineRule="exact"/>
        <w:ind w:firstLine="640" w:firstLineChars="20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5.采购管理与应付款管理：包括初始设置、业务处理和期末结账。</w:t>
      </w:r>
    </w:p>
    <w:p>
      <w:pPr>
        <w:pStyle w:val="2"/>
        <w:spacing w:line="600" w:lineRule="exact"/>
        <w:ind w:firstLine="640" w:firstLineChars="20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6.销售管理与应收款管理：包括初始设置、业务处理和期末结账。</w:t>
      </w:r>
    </w:p>
    <w:p>
      <w:pPr>
        <w:pStyle w:val="2"/>
        <w:spacing w:line="600" w:lineRule="exact"/>
        <w:ind w:firstLine="640" w:firstLineChars="20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7.库存管理：包括初始设置、业务处理和期末结账。</w:t>
      </w:r>
    </w:p>
    <w:p>
      <w:pPr>
        <w:pStyle w:val="2"/>
        <w:spacing w:line="600" w:lineRule="exact"/>
        <w:ind w:firstLine="640" w:firstLineChars="20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8. 存货核算：包括初始设置、业务处理和期末处理。</w:t>
      </w:r>
    </w:p>
    <w:p>
      <w:pPr>
        <w:pStyle w:val="2"/>
        <w:spacing w:line="600" w:lineRule="exact"/>
        <w:ind w:firstLine="640" w:firstLineChars="20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9.会计报表编制：（公式设置、取数和试算平衡）</w:t>
      </w:r>
    </w:p>
    <w:p>
      <w:pPr>
        <w:adjustRightInd w:val="0"/>
        <w:snapToGrid w:val="0"/>
        <w:spacing w:line="560" w:lineRule="exact"/>
        <w:ind w:firstLine="640" w:firstLineChars="20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比赛总分100分，限时180分钟。</w:t>
      </w:r>
    </w:p>
    <w:p>
      <w:pPr>
        <w:adjustRightInd w:val="0"/>
        <w:snapToGrid w:val="0"/>
        <w:spacing w:line="560" w:lineRule="exact"/>
        <w:ind w:firstLine="643" w:firstLineChars="200"/>
        <w:rPr>
          <w:rFonts w:hint="eastAsia" w:ascii="黑体" w:hAnsi="黑体" w:eastAsia="黑体" w:cs="黑体"/>
          <w:b/>
          <w:bCs/>
          <w:sz w:val="32"/>
          <w:szCs w:val="32"/>
        </w:rPr>
      </w:pPr>
      <w:r>
        <w:rPr>
          <w:rFonts w:hint="eastAsia" w:ascii="黑体" w:hAnsi="黑体" w:eastAsia="黑体" w:cs="黑体"/>
          <w:b/>
          <w:bCs/>
          <w:sz w:val="32"/>
          <w:szCs w:val="32"/>
        </w:rPr>
        <w:t>四、竞赛程序</w:t>
      </w:r>
    </w:p>
    <w:p>
      <w:pPr>
        <w:adjustRightInd w:val="0"/>
        <w:snapToGrid w:val="0"/>
        <w:spacing w:line="560" w:lineRule="exact"/>
        <w:ind w:firstLine="643" w:firstLineChars="201"/>
        <w:rPr>
          <w:rFonts w:hint="eastAsia" w:ascii="仿宋_GB2312" w:hAnsi="仿宋_GB2312" w:eastAsia="仿宋_GB2312" w:cs="仿宋_GB2312"/>
          <w:bCs/>
          <w:sz w:val="32"/>
          <w:szCs w:val="32"/>
        </w:rPr>
      </w:pPr>
      <w:r>
        <w:rPr>
          <w:rFonts w:hint="eastAsia" w:ascii="仿宋_GB2312" w:hAnsi="仿宋_GB2312" w:eastAsia="仿宋_GB2312" w:cs="仿宋_GB2312"/>
          <w:b w:val="0"/>
          <w:bCs w:val="0"/>
          <w:sz w:val="32"/>
          <w:szCs w:val="32"/>
        </w:rPr>
        <w:t>1. 竞赛时间：</w:t>
      </w:r>
      <w:r>
        <w:rPr>
          <w:rFonts w:hint="eastAsia" w:ascii="仿宋_GB2312" w:hAnsi="仿宋_GB2312" w:eastAsia="仿宋_GB2312" w:cs="仿宋_GB2312"/>
          <w:bCs/>
          <w:sz w:val="32"/>
          <w:szCs w:val="32"/>
        </w:rPr>
        <w:t>2025年11月    日</w:t>
      </w:r>
    </w:p>
    <w:p>
      <w:pPr>
        <w:adjustRightInd w:val="0"/>
        <w:snapToGrid w:val="0"/>
        <w:spacing w:line="560" w:lineRule="exact"/>
        <w:ind w:firstLine="640" w:firstLineChars="200"/>
        <w:rPr>
          <w:rFonts w:hint="eastAsia" w:ascii="仿宋_GB2312" w:hAnsi="仿宋_GB2312" w:eastAsia="仿宋_GB2312" w:cs="仿宋_GB2312"/>
          <w:bCs/>
          <w:sz w:val="32"/>
          <w:szCs w:val="32"/>
        </w:rPr>
      </w:pPr>
      <w:r>
        <w:rPr>
          <w:rFonts w:hint="eastAsia" w:ascii="仿宋_GB2312" w:hAnsi="仿宋_GB2312" w:eastAsia="仿宋_GB2312" w:cs="仿宋_GB2312"/>
          <w:b w:val="0"/>
          <w:bCs w:val="0"/>
          <w:sz w:val="32"/>
          <w:szCs w:val="32"/>
        </w:rPr>
        <w:t>2.</w:t>
      </w:r>
      <w:r>
        <w:rPr>
          <w:rFonts w:hint="eastAsia" w:ascii="仿宋_GB2312" w:hAnsi="仿宋_GB2312" w:eastAsia="仿宋_GB2312" w:cs="仿宋_GB2312"/>
          <w:b/>
          <w:bCs/>
          <w:sz w:val="32"/>
          <w:szCs w:val="32"/>
        </w:rPr>
        <w:t xml:space="preserve"> </w:t>
      </w:r>
      <w:r>
        <w:rPr>
          <w:rFonts w:hint="eastAsia" w:ascii="仿宋_GB2312" w:hAnsi="仿宋_GB2312" w:eastAsia="仿宋_GB2312" w:cs="仿宋_GB2312"/>
          <w:bCs/>
          <w:sz w:val="32"/>
          <w:szCs w:val="32"/>
        </w:rPr>
        <w:t>报到时学生需提供身份证、学生证原件、参加意外伤害保险单据以及参赛证。</w:t>
      </w:r>
    </w:p>
    <w:p>
      <w:pPr>
        <w:adjustRightInd w:val="0"/>
        <w:snapToGrid w:val="0"/>
        <w:spacing w:line="560" w:lineRule="exact"/>
        <w:ind w:firstLine="643" w:firstLineChars="200"/>
        <w:jc w:val="left"/>
        <w:rPr>
          <w:rFonts w:hint="eastAsia" w:ascii="黑体" w:hAnsi="黑体" w:eastAsia="黑体" w:cs="黑体"/>
          <w:b/>
          <w:bCs/>
          <w:sz w:val="32"/>
          <w:szCs w:val="32"/>
        </w:rPr>
      </w:pPr>
      <w:r>
        <w:rPr>
          <w:rFonts w:hint="eastAsia" w:ascii="黑体" w:hAnsi="黑体" w:eastAsia="黑体" w:cs="黑体"/>
          <w:b/>
          <w:bCs/>
          <w:sz w:val="32"/>
          <w:szCs w:val="32"/>
        </w:rPr>
        <w:t>五、竞赛规则</w:t>
      </w:r>
    </w:p>
    <w:p>
      <w:pPr>
        <w:adjustRightInd w:val="0"/>
        <w:snapToGrid w:val="0"/>
        <w:spacing w:line="560" w:lineRule="exact"/>
        <w:ind w:firstLine="640" w:firstLineChars="200"/>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1.会计电算化操作</w:t>
      </w:r>
    </w:p>
    <w:p>
      <w:pPr>
        <w:adjustRightInd w:val="0"/>
        <w:snapToGrid w:val="0"/>
        <w:spacing w:line="560" w:lineRule="exact"/>
        <w:ind w:firstLine="640" w:firstLineChars="20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（1）选手在工作人员的引导下进入考场，检查座位号与抽签号是否相符。在裁判人员指导下输入准考证号。待比赛命令发布后，方可开始答题，考试系统自动倒计时。</w:t>
      </w:r>
    </w:p>
    <w:p>
      <w:pPr>
        <w:adjustRightInd w:val="0"/>
        <w:snapToGrid w:val="0"/>
        <w:spacing w:line="560" w:lineRule="exact"/>
        <w:ind w:firstLine="640" w:firstLineChars="20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 xml:space="preserve">（2）比赛开始后30分钟内选手不得交卷。比赛只允许交卷一次，不能重复交卷，不能随意点击交卷退场按钮。 </w:t>
      </w:r>
    </w:p>
    <w:p>
      <w:pPr>
        <w:adjustRightInd w:val="0"/>
        <w:snapToGrid w:val="0"/>
        <w:spacing w:line="560" w:lineRule="exact"/>
        <w:ind w:firstLine="640" w:firstLineChars="20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（3）依据《企业会计准则》、现行税法和财政部会计基础工作规范处理经济业务。</w:t>
      </w:r>
    </w:p>
    <w:p>
      <w:pPr>
        <w:adjustRightInd w:val="0"/>
        <w:snapToGrid w:val="0"/>
        <w:spacing w:line="560" w:lineRule="exact"/>
        <w:ind w:firstLine="640" w:firstLineChars="20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（4）按照比赛系统操作要求，完成初始设置、审核或完善原始凭证、编制记账凭证、审核记账凭证、记账、对账并结账、编制资产负债表和利润表等。</w:t>
      </w:r>
    </w:p>
    <w:p>
      <w:pPr>
        <w:adjustRightInd w:val="0"/>
        <w:snapToGrid w:val="0"/>
        <w:spacing w:line="560" w:lineRule="exact"/>
        <w:ind w:firstLine="640" w:firstLineChars="20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（5）比赛结束时，将资料和工具整齐摆放在桌子上，经裁判人员确认后方可离开赛场，离开时不得带走任何资料。</w:t>
      </w:r>
    </w:p>
    <w:p>
      <w:pPr>
        <w:spacing w:line="560" w:lineRule="exact"/>
        <w:ind w:firstLine="643" w:firstLineChars="200"/>
        <w:rPr>
          <w:rFonts w:hint="eastAsia" w:ascii="仿宋_GB2312" w:hAnsi="仿宋_GB2312" w:eastAsia="仿宋_GB2312" w:cs="仿宋_GB2312"/>
          <w:b/>
          <w:bCs/>
          <w:sz w:val="32"/>
          <w:szCs w:val="32"/>
        </w:rPr>
      </w:pPr>
      <w:r>
        <w:rPr>
          <w:rFonts w:hint="eastAsia" w:ascii="黑体" w:hAnsi="黑体" w:eastAsia="黑体" w:cs="黑体"/>
          <w:b/>
          <w:bCs/>
          <w:sz w:val="32"/>
          <w:szCs w:val="32"/>
        </w:rPr>
        <w:t>六、参赛资格</w:t>
      </w:r>
    </w:p>
    <w:p>
      <w:pPr>
        <w:spacing w:line="560" w:lineRule="exact"/>
        <w:ind w:firstLine="640" w:firstLineChars="20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2024年兰州地区中等职业学校在籍在校生，不限性别、年龄、年级原则上参赛学生年龄不超过21周岁。</w:t>
      </w:r>
    </w:p>
    <w:p>
      <w:pPr>
        <w:spacing w:line="560" w:lineRule="exact"/>
        <w:ind w:firstLine="643" w:firstLineChars="200"/>
        <w:rPr>
          <w:rFonts w:hint="eastAsia" w:ascii="仿宋_GB2312" w:hAnsi="仿宋_GB2312" w:eastAsia="仿宋_GB2312" w:cs="仿宋_GB2312"/>
          <w:b/>
          <w:bCs/>
          <w:sz w:val="32"/>
          <w:szCs w:val="32"/>
        </w:rPr>
      </w:pPr>
      <w:r>
        <w:rPr>
          <w:rFonts w:hint="eastAsia" w:ascii="黑体" w:hAnsi="黑体" w:eastAsia="黑体" w:cs="黑体"/>
          <w:b/>
          <w:bCs/>
          <w:sz w:val="32"/>
          <w:szCs w:val="32"/>
        </w:rPr>
        <w:t xml:space="preserve">七、评分原则、方法、标准 </w:t>
      </w:r>
      <w:r>
        <w:rPr>
          <w:rFonts w:hint="eastAsia" w:ascii="仿宋_GB2312" w:hAnsi="仿宋_GB2312" w:eastAsia="仿宋_GB2312" w:cs="仿宋_GB2312"/>
          <w:b/>
          <w:bCs/>
          <w:sz w:val="32"/>
          <w:szCs w:val="32"/>
        </w:rPr>
        <w:t xml:space="preserve"> </w:t>
      </w:r>
    </w:p>
    <w:p>
      <w:pPr>
        <w:adjustRightInd w:val="0"/>
        <w:snapToGrid w:val="0"/>
        <w:spacing w:line="560" w:lineRule="exact"/>
        <w:ind w:firstLine="643"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1.会计电算化操作评分标准（采用自动评分系统）</w:t>
      </w:r>
    </w:p>
    <w:p>
      <w:pPr>
        <w:spacing w:line="480" w:lineRule="exact"/>
        <w:jc w:val="center"/>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会计电算化操作评分标准表</w:t>
      </w:r>
    </w:p>
    <w:tbl>
      <w:tblPr>
        <w:tblStyle w:val="3"/>
        <w:tblW w:w="9847" w:type="dxa"/>
        <w:jc w:val="center"/>
        <w:tblBorders>
          <w:top w:val="single" w:color="auto" w:sz="8" w:space="0"/>
          <w:left w:val="single" w:color="auto" w:sz="8" w:space="0"/>
          <w:bottom w:val="single" w:color="auto" w:sz="8" w:space="0"/>
          <w:right w:val="single" w:color="auto" w:sz="8" w:space="0"/>
          <w:insideH w:val="dotted" w:color="auto" w:sz="4" w:space="0"/>
          <w:insideV w:val="dotted" w:color="auto" w:sz="4" w:space="0"/>
        </w:tblBorders>
        <w:tblLayout w:type="fixed"/>
        <w:tblCellMar>
          <w:top w:w="0" w:type="dxa"/>
          <w:left w:w="108" w:type="dxa"/>
          <w:bottom w:w="0" w:type="dxa"/>
          <w:right w:w="108" w:type="dxa"/>
        </w:tblCellMar>
      </w:tblPr>
      <w:tblGrid>
        <w:gridCol w:w="1010"/>
        <w:gridCol w:w="1843"/>
        <w:gridCol w:w="4536"/>
        <w:gridCol w:w="1276"/>
        <w:gridCol w:w="1182"/>
      </w:tblGrid>
      <w:tr>
        <w:tblPrEx>
          <w:tblBorders>
            <w:top w:val="single" w:color="auto" w:sz="8" w:space="0"/>
            <w:left w:val="single" w:color="auto" w:sz="8" w:space="0"/>
            <w:bottom w:val="single" w:color="auto" w:sz="8" w:space="0"/>
            <w:right w:val="single" w:color="auto" w:sz="8" w:space="0"/>
            <w:insideH w:val="dotted" w:color="auto" w:sz="4" w:space="0"/>
            <w:insideV w:val="dotted" w:color="auto" w:sz="4" w:space="0"/>
          </w:tblBorders>
          <w:tblCellMar>
            <w:top w:w="0" w:type="dxa"/>
            <w:left w:w="108" w:type="dxa"/>
            <w:bottom w:w="0" w:type="dxa"/>
            <w:right w:w="108" w:type="dxa"/>
          </w:tblCellMar>
        </w:tblPrEx>
        <w:trPr>
          <w:cantSplit/>
          <w:trHeight w:val="1172" w:hRule="atLeast"/>
          <w:jc w:val="center"/>
        </w:trPr>
        <w:tc>
          <w:tcPr>
            <w:tcW w:w="1010" w:type="dxa"/>
            <w:tcBorders>
              <w:top w:val="single" w:color="auto" w:sz="4" w:space="0"/>
              <w:left w:val="single" w:color="auto" w:sz="4" w:space="0"/>
              <w:bottom w:val="single" w:color="auto" w:sz="4" w:space="0"/>
              <w:right w:val="single" w:color="auto" w:sz="4" w:space="0"/>
            </w:tcBorders>
            <w:vAlign w:val="center"/>
          </w:tcPr>
          <w:p>
            <w:pPr>
              <w:spacing w:line="480" w:lineRule="exact"/>
              <w:jc w:val="center"/>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竞赛内容</w:t>
            </w:r>
          </w:p>
        </w:tc>
        <w:tc>
          <w:tcPr>
            <w:tcW w:w="1843" w:type="dxa"/>
            <w:tcBorders>
              <w:top w:val="single" w:color="auto" w:sz="4" w:space="0"/>
              <w:left w:val="nil"/>
              <w:bottom w:val="single" w:color="auto" w:sz="4" w:space="0"/>
              <w:right w:val="single" w:color="auto" w:sz="4" w:space="0"/>
            </w:tcBorders>
            <w:vAlign w:val="center"/>
          </w:tcPr>
          <w:p>
            <w:pPr>
              <w:spacing w:line="480" w:lineRule="exact"/>
              <w:jc w:val="center"/>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技术要求</w:t>
            </w:r>
          </w:p>
        </w:tc>
        <w:tc>
          <w:tcPr>
            <w:tcW w:w="4536" w:type="dxa"/>
            <w:tcBorders>
              <w:top w:val="single" w:color="auto" w:sz="4" w:space="0"/>
              <w:left w:val="nil"/>
              <w:bottom w:val="single" w:color="auto" w:sz="4" w:space="0"/>
              <w:right w:val="single" w:color="auto" w:sz="4" w:space="0"/>
            </w:tcBorders>
            <w:vAlign w:val="center"/>
          </w:tcPr>
          <w:p>
            <w:pPr>
              <w:spacing w:line="480" w:lineRule="exact"/>
              <w:jc w:val="center"/>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评分要求</w:t>
            </w:r>
          </w:p>
        </w:tc>
        <w:tc>
          <w:tcPr>
            <w:tcW w:w="1276" w:type="dxa"/>
            <w:tcBorders>
              <w:top w:val="single" w:color="auto" w:sz="4" w:space="0"/>
              <w:left w:val="nil"/>
              <w:bottom w:val="single" w:color="auto" w:sz="4" w:space="0"/>
              <w:right w:val="single" w:color="auto" w:sz="4" w:space="0"/>
            </w:tcBorders>
            <w:vAlign w:val="center"/>
          </w:tcPr>
          <w:p>
            <w:pPr>
              <w:spacing w:line="480" w:lineRule="exact"/>
              <w:jc w:val="center"/>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参考分值</w:t>
            </w:r>
          </w:p>
        </w:tc>
        <w:tc>
          <w:tcPr>
            <w:tcW w:w="1182" w:type="dxa"/>
            <w:tcBorders>
              <w:top w:val="single" w:color="auto" w:sz="4" w:space="0"/>
              <w:left w:val="nil"/>
              <w:bottom w:val="single" w:color="auto" w:sz="4" w:space="0"/>
              <w:right w:val="single" w:color="auto" w:sz="4" w:space="0"/>
            </w:tcBorders>
            <w:vAlign w:val="center"/>
          </w:tcPr>
          <w:p>
            <w:pPr>
              <w:spacing w:line="480" w:lineRule="exact"/>
              <w:jc w:val="center"/>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评分方式</w:t>
            </w:r>
          </w:p>
        </w:tc>
      </w:tr>
      <w:tr>
        <w:tblPrEx>
          <w:tblBorders>
            <w:top w:val="single" w:color="auto" w:sz="8" w:space="0"/>
            <w:left w:val="single" w:color="auto" w:sz="8" w:space="0"/>
            <w:bottom w:val="single" w:color="auto" w:sz="8" w:space="0"/>
            <w:right w:val="single" w:color="auto" w:sz="8" w:space="0"/>
            <w:insideH w:val="dotted" w:color="auto" w:sz="4" w:space="0"/>
            <w:insideV w:val="dotted" w:color="auto" w:sz="4" w:space="0"/>
          </w:tblBorders>
          <w:tblCellMar>
            <w:top w:w="0" w:type="dxa"/>
            <w:left w:w="108" w:type="dxa"/>
            <w:bottom w:w="0" w:type="dxa"/>
            <w:right w:w="108" w:type="dxa"/>
          </w:tblCellMar>
        </w:tblPrEx>
        <w:trPr>
          <w:cantSplit/>
          <w:trHeight w:val="844" w:hRule="atLeast"/>
          <w:jc w:val="center"/>
        </w:trPr>
        <w:tc>
          <w:tcPr>
            <w:tcW w:w="1010" w:type="dxa"/>
            <w:tcBorders>
              <w:top w:val="single" w:color="auto" w:sz="4" w:space="0"/>
              <w:left w:val="single" w:color="auto" w:sz="4" w:space="0"/>
              <w:bottom w:val="single" w:color="auto" w:sz="4" w:space="0"/>
              <w:right w:val="single" w:color="auto" w:sz="4" w:space="0"/>
            </w:tcBorders>
            <w:vAlign w:val="center"/>
          </w:tcPr>
          <w:p>
            <w:pPr>
              <w:spacing w:line="480" w:lineRule="exact"/>
              <w:jc w:val="center"/>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初始设置</w:t>
            </w:r>
          </w:p>
        </w:tc>
        <w:tc>
          <w:tcPr>
            <w:tcW w:w="1843" w:type="dxa"/>
            <w:tcBorders>
              <w:top w:val="single" w:color="auto" w:sz="4" w:space="0"/>
              <w:left w:val="nil"/>
              <w:bottom w:val="single" w:color="auto" w:sz="4" w:space="0"/>
              <w:right w:val="single" w:color="auto" w:sz="4" w:space="0"/>
            </w:tcBorders>
            <w:vAlign w:val="center"/>
          </w:tcPr>
          <w:p>
            <w:pPr>
              <w:spacing w:line="480" w:lineRule="exact"/>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按照题目要求进行初始设置</w:t>
            </w:r>
          </w:p>
        </w:tc>
        <w:tc>
          <w:tcPr>
            <w:tcW w:w="4536" w:type="dxa"/>
            <w:tcBorders>
              <w:top w:val="single" w:color="auto" w:sz="4" w:space="0"/>
              <w:left w:val="nil"/>
              <w:bottom w:val="single" w:color="auto" w:sz="4" w:space="0"/>
              <w:right w:val="single" w:color="auto" w:sz="4" w:space="0"/>
            </w:tcBorders>
            <w:vAlign w:val="center"/>
          </w:tcPr>
          <w:p>
            <w:pPr>
              <w:spacing w:line="480" w:lineRule="exact"/>
              <w:rPr>
                <w:rFonts w:hint="eastAsia" w:ascii="仿宋_GB2312" w:hAnsi="仿宋_GB2312" w:eastAsia="仿宋_GB2312" w:cs="仿宋_GB2312"/>
                <w:bCs/>
                <w:sz w:val="32"/>
                <w:szCs w:val="32"/>
              </w:rPr>
            </w:pPr>
            <w:r>
              <w:rPr>
                <w:rFonts w:hint="eastAsia" w:ascii="仿宋_GB2312" w:hAnsi="仿宋_GB2312" w:eastAsia="仿宋_GB2312" w:cs="仿宋_GB2312"/>
                <w:sz w:val="32"/>
                <w:szCs w:val="32"/>
              </w:rPr>
              <w:t>正确进行用户及权限设置，各系统参数设置，核算规则设置（如核算科目、固定资产折旧方法、工资分摊比例、自动转账分录等），基础档案与数据的录入进行评分。</w:t>
            </w:r>
          </w:p>
        </w:tc>
        <w:tc>
          <w:tcPr>
            <w:tcW w:w="1276" w:type="dxa"/>
            <w:tcBorders>
              <w:top w:val="single" w:color="auto" w:sz="4" w:space="0"/>
              <w:left w:val="nil"/>
              <w:bottom w:val="single" w:color="auto" w:sz="4" w:space="0"/>
              <w:right w:val="single" w:color="auto" w:sz="4" w:space="0"/>
            </w:tcBorders>
            <w:vAlign w:val="center"/>
          </w:tcPr>
          <w:p>
            <w:pPr>
              <w:spacing w:line="480" w:lineRule="exact"/>
              <w:jc w:val="center"/>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20</w:t>
            </w:r>
          </w:p>
        </w:tc>
        <w:tc>
          <w:tcPr>
            <w:tcW w:w="1182" w:type="dxa"/>
            <w:tcBorders>
              <w:top w:val="single" w:color="auto" w:sz="4" w:space="0"/>
              <w:left w:val="nil"/>
              <w:bottom w:val="single" w:color="auto" w:sz="4" w:space="0"/>
              <w:right w:val="single" w:color="auto" w:sz="4" w:space="0"/>
            </w:tcBorders>
            <w:vAlign w:val="center"/>
          </w:tcPr>
          <w:p>
            <w:pPr>
              <w:spacing w:line="480" w:lineRule="exact"/>
              <w:jc w:val="center"/>
              <w:rPr>
                <w:rFonts w:hint="eastAsia" w:ascii="仿宋_GB2312" w:hAnsi="仿宋_GB2312" w:eastAsia="仿宋_GB2312" w:cs="仿宋_GB2312"/>
                <w:bCs/>
                <w:sz w:val="32"/>
                <w:szCs w:val="32"/>
              </w:rPr>
            </w:pPr>
            <w:r>
              <w:rPr>
                <w:rFonts w:hint="eastAsia" w:ascii="仿宋_GB2312" w:hAnsi="仿宋_GB2312" w:eastAsia="仿宋_GB2312" w:cs="仿宋_GB2312"/>
                <w:sz w:val="32"/>
                <w:szCs w:val="32"/>
              </w:rPr>
              <w:t>自动评分</w:t>
            </w:r>
          </w:p>
        </w:tc>
      </w:tr>
      <w:tr>
        <w:tblPrEx>
          <w:tblBorders>
            <w:top w:val="single" w:color="auto" w:sz="8" w:space="0"/>
            <w:left w:val="single" w:color="auto" w:sz="8" w:space="0"/>
            <w:bottom w:val="single" w:color="auto" w:sz="8" w:space="0"/>
            <w:right w:val="single" w:color="auto" w:sz="8" w:space="0"/>
            <w:insideH w:val="dotted" w:color="auto" w:sz="4" w:space="0"/>
            <w:insideV w:val="dotted" w:color="auto" w:sz="4" w:space="0"/>
          </w:tblBorders>
          <w:tblCellMar>
            <w:top w:w="0" w:type="dxa"/>
            <w:left w:w="108" w:type="dxa"/>
            <w:bottom w:w="0" w:type="dxa"/>
            <w:right w:w="108" w:type="dxa"/>
          </w:tblCellMar>
        </w:tblPrEx>
        <w:trPr>
          <w:cantSplit/>
          <w:trHeight w:val="2445" w:hRule="atLeast"/>
          <w:jc w:val="center"/>
        </w:trPr>
        <w:tc>
          <w:tcPr>
            <w:tcW w:w="1010" w:type="dxa"/>
            <w:vMerge w:val="restart"/>
            <w:tcBorders>
              <w:top w:val="nil"/>
              <w:left w:val="single" w:color="auto" w:sz="4" w:space="0"/>
              <w:bottom w:val="dotted" w:color="auto" w:sz="4" w:space="0"/>
              <w:right w:val="single" w:color="auto" w:sz="4" w:space="0"/>
            </w:tcBorders>
            <w:vAlign w:val="center"/>
          </w:tcPr>
          <w:p>
            <w:pPr>
              <w:spacing w:line="480" w:lineRule="exact"/>
              <w:jc w:val="center"/>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日常业务处理</w:t>
            </w:r>
          </w:p>
        </w:tc>
        <w:tc>
          <w:tcPr>
            <w:tcW w:w="1843" w:type="dxa"/>
            <w:tcBorders>
              <w:top w:val="single" w:color="auto" w:sz="4" w:space="0"/>
              <w:left w:val="nil"/>
              <w:bottom w:val="single" w:color="auto" w:sz="4" w:space="0"/>
              <w:right w:val="single" w:color="auto" w:sz="4" w:space="0"/>
            </w:tcBorders>
            <w:vAlign w:val="center"/>
          </w:tcPr>
          <w:p>
            <w:pPr>
              <w:spacing w:line="480" w:lineRule="exact"/>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按照题目要求填制、审核或完善相关业务单据和原始凭证，编制记账凭证</w:t>
            </w:r>
          </w:p>
        </w:tc>
        <w:tc>
          <w:tcPr>
            <w:tcW w:w="4536" w:type="dxa"/>
            <w:tcBorders>
              <w:top w:val="single" w:color="auto" w:sz="4" w:space="0"/>
              <w:left w:val="nil"/>
              <w:bottom w:val="single" w:color="auto" w:sz="4" w:space="0"/>
              <w:right w:val="single" w:color="auto" w:sz="4" w:space="0"/>
            </w:tcBorders>
            <w:vAlign w:val="center"/>
          </w:tcPr>
          <w:p>
            <w:pPr>
              <w:spacing w:line="480" w:lineRule="exact"/>
              <w:rPr>
                <w:rFonts w:hint="eastAsia" w:ascii="仿宋_GB2312" w:hAnsi="仿宋_GB2312" w:eastAsia="仿宋_GB2312" w:cs="仿宋_GB2312"/>
                <w:bCs/>
                <w:sz w:val="32"/>
                <w:szCs w:val="32"/>
              </w:rPr>
            </w:pPr>
            <w:r>
              <w:rPr>
                <w:rFonts w:hint="eastAsia" w:ascii="仿宋_GB2312" w:hAnsi="仿宋_GB2312" w:eastAsia="仿宋_GB2312" w:cs="仿宋_GB2312"/>
                <w:sz w:val="32"/>
                <w:szCs w:val="32"/>
              </w:rPr>
              <w:t>正确进行业务相关单据的录入或生成、审核，正确进行记账凭证录入或生成（需由各业务子系统生成的记账凭证不得直接在总账系统中填制，如薪资管理、固定资产、应收款、应付款、存货核算中相关业务凭证应在完成对应的业务处理过程后直接生成作为外部凭证自动传递至总账系统）。</w:t>
            </w:r>
          </w:p>
          <w:p>
            <w:pPr>
              <w:spacing w:line="480" w:lineRule="exact"/>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根据业务单据、原始凭证的表头、表体的内容和记账凭证填制的内容（日期、借贷方科目、借贷方金额、辅助核算信息等）进行评分</w:t>
            </w:r>
          </w:p>
        </w:tc>
        <w:tc>
          <w:tcPr>
            <w:tcW w:w="1276" w:type="dxa"/>
            <w:vMerge w:val="restart"/>
            <w:tcBorders>
              <w:top w:val="nil"/>
              <w:left w:val="nil"/>
              <w:bottom w:val="dotted" w:color="auto" w:sz="4" w:space="0"/>
              <w:right w:val="single" w:color="auto" w:sz="4" w:space="0"/>
            </w:tcBorders>
            <w:vAlign w:val="center"/>
          </w:tcPr>
          <w:p>
            <w:pPr>
              <w:spacing w:line="480" w:lineRule="exact"/>
              <w:rPr>
                <w:rFonts w:hint="eastAsia" w:ascii="仿宋_GB2312" w:hAnsi="仿宋_GB2312" w:eastAsia="仿宋_GB2312" w:cs="仿宋_GB2312"/>
                <w:bCs/>
                <w:sz w:val="32"/>
                <w:szCs w:val="32"/>
              </w:rPr>
            </w:pPr>
          </w:p>
          <w:p>
            <w:pPr>
              <w:spacing w:line="480" w:lineRule="exact"/>
              <w:jc w:val="center"/>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70</w:t>
            </w:r>
          </w:p>
        </w:tc>
        <w:tc>
          <w:tcPr>
            <w:tcW w:w="1182" w:type="dxa"/>
            <w:tcBorders>
              <w:top w:val="single" w:color="auto" w:sz="4" w:space="0"/>
              <w:left w:val="nil"/>
              <w:bottom w:val="single" w:color="auto" w:sz="4" w:space="0"/>
              <w:right w:val="single" w:color="auto" w:sz="4" w:space="0"/>
            </w:tcBorders>
            <w:vAlign w:val="center"/>
          </w:tcPr>
          <w:p>
            <w:pPr>
              <w:spacing w:line="480" w:lineRule="exact"/>
              <w:rPr>
                <w:rFonts w:hint="eastAsia" w:ascii="仿宋_GB2312" w:hAnsi="仿宋_GB2312" w:eastAsia="仿宋_GB2312" w:cs="仿宋_GB2312"/>
                <w:bCs/>
                <w:sz w:val="32"/>
                <w:szCs w:val="32"/>
              </w:rPr>
            </w:pPr>
            <w:r>
              <w:rPr>
                <w:rFonts w:hint="eastAsia" w:ascii="仿宋_GB2312" w:hAnsi="仿宋_GB2312" w:eastAsia="仿宋_GB2312" w:cs="仿宋_GB2312"/>
                <w:sz w:val="32"/>
                <w:szCs w:val="32"/>
              </w:rPr>
              <w:t>自动评分</w:t>
            </w:r>
          </w:p>
        </w:tc>
      </w:tr>
      <w:tr>
        <w:tblPrEx>
          <w:tblBorders>
            <w:top w:val="single" w:color="auto" w:sz="8" w:space="0"/>
            <w:left w:val="single" w:color="auto" w:sz="8" w:space="0"/>
            <w:bottom w:val="single" w:color="auto" w:sz="8" w:space="0"/>
            <w:right w:val="single" w:color="auto" w:sz="8" w:space="0"/>
            <w:insideH w:val="dotted" w:color="auto" w:sz="4" w:space="0"/>
            <w:insideV w:val="dotted" w:color="auto" w:sz="4" w:space="0"/>
          </w:tblBorders>
          <w:tblCellMar>
            <w:top w:w="0" w:type="dxa"/>
            <w:left w:w="108" w:type="dxa"/>
            <w:bottom w:w="0" w:type="dxa"/>
            <w:right w:w="108" w:type="dxa"/>
          </w:tblCellMar>
        </w:tblPrEx>
        <w:trPr>
          <w:cantSplit/>
          <w:trHeight w:val="1040" w:hRule="atLeast"/>
          <w:jc w:val="center"/>
        </w:trPr>
        <w:tc>
          <w:tcPr>
            <w:tcW w:w="1010" w:type="dxa"/>
            <w:vMerge w:val="continue"/>
            <w:tcBorders>
              <w:top w:val="nil"/>
              <w:left w:val="single" w:color="auto" w:sz="4" w:space="0"/>
              <w:bottom w:val="dotted" w:color="auto" w:sz="4" w:space="0"/>
              <w:right w:val="single" w:color="auto" w:sz="4" w:space="0"/>
            </w:tcBorders>
            <w:vAlign w:val="center"/>
          </w:tcPr>
          <w:p>
            <w:pPr>
              <w:widowControl/>
              <w:jc w:val="left"/>
              <w:rPr>
                <w:rFonts w:hint="eastAsia" w:ascii="仿宋_GB2312" w:hAnsi="仿宋_GB2312" w:eastAsia="仿宋_GB2312" w:cs="仿宋_GB2312"/>
                <w:bCs/>
                <w:sz w:val="32"/>
                <w:szCs w:val="32"/>
              </w:rPr>
            </w:pPr>
          </w:p>
        </w:tc>
        <w:tc>
          <w:tcPr>
            <w:tcW w:w="1843" w:type="dxa"/>
            <w:tcBorders>
              <w:top w:val="single" w:color="auto" w:sz="4" w:space="0"/>
              <w:left w:val="nil"/>
              <w:bottom w:val="single" w:color="auto" w:sz="4" w:space="0"/>
              <w:right w:val="single" w:color="auto" w:sz="4" w:space="0"/>
            </w:tcBorders>
            <w:vAlign w:val="center"/>
          </w:tcPr>
          <w:p>
            <w:pPr>
              <w:spacing w:line="480" w:lineRule="exact"/>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按照业务处理要求进行记账凭证的审核处理</w:t>
            </w:r>
          </w:p>
        </w:tc>
        <w:tc>
          <w:tcPr>
            <w:tcW w:w="4536" w:type="dxa"/>
            <w:tcBorders>
              <w:top w:val="single" w:color="auto" w:sz="4" w:space="0"/>
              <w:left w:val="nil"/>
              <w:bottom w:val="single" w:color="auto" w:sz="4" w:space="0"/>
              <w:right w:val="single" w:color="auto" w:sz="4" w:space="0"/>
            </w:tcBorders>
            <w:vAlign w:val="center"/>
          </w:tcPr>
          <w:p>
            <w:pPr>
              <w:spacing w:line="480" w:lineRule="exact"/>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根据凭证审核信息进行评分</w:t>
            </w:r>
          </w:p>
        </w:tc>
        <w:tc>
          <w:tcPr>
            <w:tcW w:w="1276" w:type="dxa"/>
            <w:vMerge w:val="continue"/>
            <w:tcBorders>
              <w:top w:val="nil"/>
              <w:left w:val="nil"/>
              <w:bottom w:val="dotted" w:color="auto" w:sz="4" w:space="0"/>
              <w:right w:val="single" w:color="auto" w:sz="4" w:space="0"/>
            </w:tcBorders>
            <w:vAlign w:val="center"/>
          </w:tcPr>
          <w:p>
            <w:pPr>
              <w:widowControl/>
              <w:jc w:val="left"/>
              <w:rPr>
                <w:rFonts w:hint="eastAsia" w:ascii="仿宋_GB2312" w:hAnsi="仿宋_GB2312" w:eastAsia="仿宋_GB2312" w:cs="仿宋_GB2312"/>
                <w:bCs/>
                <w:sz w:val="32"/>
                <w:szCs w:val="32"/>
              </w:rPr>
            </w:pPr>
          </w:p>
        </w:tc>
        <w:tc>
          <w:tcPr>
            <w:tcW w:w="1182" w:type="dxa"/>
            <w:tcBorders>
              <w:top w:val="single" w:color="auto" w:sz="4" w:space="0"/>
              <w:left w:val="nil"/>
              <w:bottom w:val="single" w:color="auto" w:sz="4" w:space="0"/>
              <w:right w:val="single" w:color="auto" w:sz="4" w:space="0"/>
            </w:tcBorders>
            <w:vAlign w:val="center"/>
          </w:tcPr>
          <w:p>
            <w:pPr>
              <w:spacing w:line="480" w:lineRule="exact"/>
              <w:rPr>
                <w:rFonts w:hint="eastAsia" w:ascii="仿宋_GB2312" w:hAnsi="仿宋_GB2312" w:eastAsia="仿宋_GB2312" w:cs="仿宋_GB2312"/>
                <w:bCs/>
                <w:sz w:val="32"/>
                <w:szCs w:val="32"/>
              </w:rPr>
            </w:pPr>
            <w:r>
              <w:rPr>
                <w:rFonts w:hint="eastAsia" w:ascii="仿宋_GB2312" w:hAnsi="仿宋_GB2312" w:eastAsia="仿宋_GB2312" w:cs="仿宋_GB2312"/>
                <w:sz w:val="32"/>
                <w:szCs w:val="32"/>
              </w:rPr>
              <w:t>自动评分</w:t>
            </w:r>
          </w:p>
        </w:tc>
      </w:tr>
      <w:tr>
        <w:tblPrEx>
          <w:tblBorders>
            <w:top w:val="single" w:color="auto" w:sz="8" w:space="0"/>
            <w:left w:val="single" w:color="auto" w:sz="8" w:space="0"/>
            <w:bottom w:val="single" w:color="auto" w:sz="8" w:space="0"/>
            <w:right w:val="single" w:color="auto" w:sz="8" w:space="0"/>
            <w:insideH w:val="dotted" w:color="auto" w:sz="4" w:space="0"/>
            <w:insideV w:val="dotted" w:color="auto" w:sz="4" w:space="0"/>
          </w:tblBorders>
          <w:tblCellMar>
            <w:top w:w="0" w:type="dxa"/>
            <w:left w:w="108" w:type="dxa"/>
            <w:bottom w:w="0" w:type="dxa"/>
            <w:right w:w="108" w:type="dxa"/>
          </w:tblCellMar>
        </w:tblPrEx>
        <w:trPr>
          <w:cantSplit/>
          <w:trHeight w:val="912" w:hRule="atLeast"/>
          <w:jc w:val="center"/>
        </w:trPr>
        <w:tc>
          <w:tcPr>
            <w:tcW w:w="1010" w:type="dxa"/>
            <w:vMerge w:val="continue"/>
            <w:tcBorders>
              <w:top w:val="nil"/>
              <w:left w:val="single" w:color="auto" w:sz="4" w:space="0"/>
              <w:bottom w:val="dotted" w:color="auto" w:sz="4" w:space="0"/>
              <w:right w:val="single" w:color="auto" w:sz="4" w:space="0"/>
            </w:tcBorders>
            <w:vAlign w:val="center"/>
          </w:tcPr>
          <w:p>
            <w:pPr>
              <w:widowControl/>
              <w:jc w:val="left"/>
              <w:rPr>
                <w:rFonts w:hint="eastAsia" w:ascii="仿宋_GB2312" w:hAnsi="仿宋_GB2312" w:eastAsia="仿宋_GB2312" w:cs="仿宋_GB2312"/>
                <w:bCs/>
                <w:sz w:val="32"/>
                <w:szCs w:val="32"/>
              </w:rPr>
            </w:pPr>
          </w:p>
        </w:tc>
        <w:tc>
          <w:tcPr>
            <w:tcW w:w="1843" w:type="dxa"/>
            <w:tcBorders>
              <w:top w:val="single" w:color="auto" w:sz="4" w:space="0"/>
              <w:left w:val="nil"/>
              <w:bottom w:val="single" w:color="auto" w:sz="4" w:space="0"/>
              <w:right w:val="single" w:color="auto" w:sz="4" w:space="0"/>
            </w:tcBorders>
            <w:vAlign w:val="center"/>
          </w:tcPr>
          <w:p>
            <w:pPr>
              <w:spacing w:line="480" w:lineRule="exact"/>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按照业务处理要求进行记账凭证的出纳签字处理</w:t>
            </w:r>
          </w:p>
        </w:tc>
        <w:tc>
          <w:tcPr>
            <w:tcW w:w="4536" w:type="dxa"/>
            <w:tcBorders>
              <w:top w:val="single" w:color="auto" w:sz="4" w:space="0"/>
              <w:left w:val="nil"/>
              <w:bottom w:val="single" w:color="auto" w:sz="4" w:space="0"/>
              <w:right w:val="single" w:color="auto" w:sz="4" w:space="0"/>
            </w:tcBorders>
            <w:vAlign w:val="center"/>
          </w:tcPr>
          <w:p>
            <w:pPr>
              <w:spacing w:line="480" w:lineRule="exact"/>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根据凭证出纳签字信息进行评分</w:t>
            </w:r>
          </w:p>
        </w:tc>
        <w:tc>
          <w:tcPr>
            <w:tcW w:w="1276" w:type="dxa"/>
            <w:vMerge w:val="continue"/>
            <w:tcBorders>
              <w:top w:val="nil"/>
              <w:left w:val="nil"/>
              <w:bottom w:val="dotted" w:color="auto" w:sz="4" w:space="0"/>
              <w:right w:val="single" w:color="auto" w:sz="4" w:space="0"/>
            </w:tcBorders>
            <w:vAlign w:val="center"/>
          </w:tcPr>
          <w:p>
            <w:pPr>
              <w:widowControl/>
              <w:jc w:val="left"/>
              <w:rPr>
                <w:rFonts w:hint="eastAsia" w:ascii="仿宋_GB2312" w:hAnsi="仿宋_GB2312" w:eastAsia="仿宋_GB2312" w:cs="仿宋_GB2312"/>
                <w:bCs/>
                <w:sz w:val="32"/>
                <w:szCs w:val="32"/>
              </w:rPr>
            </w:pPr>
          </w:p>
        </w:tc>
        <w:tc>
          <w:tcPr>
            <w:tcW w:w="1182" w:type="dxa"/>
            <w:tcBorders>
              <w:top w:val="single" w:color="auto" w:sz="4" w:space="0"/>
              <w:left w:val="nil"/>
              <w:bottom w:val="single" w:color="auto" w:sz="4" w:space="0"/>
              <w:right w:val="single" w:color="auto" w:sz="4" w:space="0"/>
            </w:tcBorders>
            <w:vAlign w:val="center"/>
          </w:tcPr>
          <w:p>
            <w:pPr>
              <w:spacing w:line="480" w:lineRule="exact"/>
              <w:rPr>
                <w:rFonts w:hint="eastAsia" w:ascii="仿宋_GB2312" w:hAnsi="仿宋_GB2312" w:eastAsia="仿宋_GB2312" w:cs="仿宋_GB2312"/>
                <w:sz w:val="32"/>
                <w:szCs w:val="32"/>
              </w:rPr>
            </w:pPr>
          </w:p>
        </w:tc>
      </w:tr>
      <w:tr>
        <w:tblPrEx>
          <w:tblBorders>
            <w:top w:val="single" w:color="auto" w:sz="8" w:space="0"/>
            <w:left w:val="single" w:color="auto" w:sz="8" w:space="0"/>
            <w:bottom w:val="single" w:color="auto" w:sz="8" w:space="0"/>
            <w:right w:val="single" w:color="auto" w:sz="8" w:space="0"/>
            <w:insideH w:val="dotted" w:color="auto" w:sz="4" w:space="0"/>
            <w:insideV w:val="dotted" w:color="auto" w:sz="4" w:space="0"/>
          </w:tblBorders>
          <w:tblCellMar>
            <w:top w:w="0" w:type="dxa"/>
            <w:left w:w="108" w:type="dxa"/>
            <w:bottom w:w="0" w:type="dxa"/>
            <w:right w:w="108" w:type="dxa"/>
          </w:tblCellMar>
        </w:tblPrEx>
        <w:trPr>
          <w:cantSplit/>
          <w:trHeight w:val="912" w:hRule="atLeast"/>
          <w:jc w:val="center"/>
        </w:trPr>
        <w:tc>
          <w:tcPr>
            <w:tcW w:w="1010" w:type="dxa"/>
            <w:vMerge w:val="continue"/>
            <w:tcBorders>
              <w:top w:val="nil"/>
              <w:left w:val="single" w:color="auto" w:sz="4" w:space="0"/>
              <w:bottom w:val="dotted" w:color="auto" w:sz="4" w:space="0"/>
              <w:right w:val="single" w:color="auto" w:sz="4" w:space="0"/>
            </w:tcBorders>
            <w:vAlign w:val="center"/>
          </w:tcPr>
          <w:p>
            <w:pPr>
              <w:widowControl/>
              <w:jc w:val="left"/>
              <w:rPr>
                <w:rFonts w:hint="eastAsia" w:ascii="仿宋_GB2312" w:hAnsi="仿宋_GB2312" w:eastAsia="仿宋_GB2312" w:cs="仿宋_GB2312"/>
                <w:bCs/>
                <w:sz w:val="32"/>
                <w:szCs w:val="32"/>
              </w:rPr>
            </w:pPr>
          </w:p>
        </w:tc>
        <w:tc>
          <w:tcPr>
            <w:tcW w:w="1843" w:type="dxa"/>
            <w:tcBorders>
              <w:top w:val="single" w:color="auto" w:sz="4" w:space="0"/>
              <w:left w:val="nil"/>
              <w:bottom w:val="single" w:color="auto" w:sz="4" w:space="0"/>
              <w:right w:val="single" w:color="auto" w:sz="4" w:space="0"/>
            </w:tcBorders>
            <w:vAlign w:val="center"/>
          </w:tcPr>
          <w:p>
            <w:pPr>
              <w:spacing w:line="480" w:lineRule="exact"/>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按照业务处理要求进行记账凭证的记账处理</w:t>
            </w:r>
          </w:p>
        </w:tc>
        <w:tc>
          <w:tcPr>
            <w:tcW w:w="4536" w:type="dxa"/>
            <w:tcBorders>
              <w:top w:val="single" w:color="auto" w:sz="4" w:space="0"/>
              <w:left w:val="nil"/>
              <w:bottom w:val="single" w:color="auto" w:sz="4" w:space="0"/>
              <w:right w:val="single" w:color="auto" w:sz="4" w:space="0"/>
            </w:tcBorders>
            <w:vAlign w:val="center"/>
          </w:tcPr>
          <w:p>
            <w:pPr>
              <w:spacing w:line="480" w:lineRule="exact"/>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根据凭证的记账信息进行评分</w:t>
            </w:r>
          </w:p>
        </w:tc>
        <w:tc>
          <w:tcPr>
            <w:tcW w:w="1276" w:type="dxa"/>
            <w:vMerge w:val="continue"/>
            <w:tcBorders>
              <w:top w:val="nil"/>
              <w:left w:val="nil"/>
              <w:bottom w:val="dotted" w:color="auto" w:sz="4" w:space="0"/>
              <w:right w:val="single" w:color="auto" w:sz="4" w:space="0"/>
            </w:tcBorders>
            <w:vAlign w:val="center"/>
          </w:tcPr>
          <w:p>
            <w:pPr>
              <w:widowControl/>
              <w:jc w:val="left"/>
              <w:rPr>
                <w:rFonts w:hint="eastAsia" w:ascii="仿宋_GB2312" w:hAnsi="仿宋_GB2312" w:eastAsia="仿宋_GB2312" w:cs="仿宋_GB2312"/>
                <w:bCs/>
                <w:sz w:val="32"/>
                <w:szCs w:val="32"/>
              </w:rPr>
            </w:pPr>
          </w:p>
        </w:tc>
        <w:tc>
          <w:tcPr>
            <w:tcW w:w="1182" w:type="dxa"/>
            <w:tcBorders>
              <w:top w:val="single" w:color="auto" w:sz="4" w:space="0"/>
              <w:left w:val="nil"/>
              <w:bottom w:val="single" w:color="auto" w:sz="4" w:space="0"/>
              <w:right w:val="single" w:color="auto" w:sz="4" w:space="0"/>
            </w:tcBorders>
            <w:vAlign w:val="center"/>
          </w:tcPr>
          <w:p>
            <w:pPr>
              <w:spacing w:line="48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自动评分</w:t>
            </w:r>
          </w:p>
        </w:tc>
      </w:tr>
      <w:tr>
        <w:tblPrEx>
          <w:tblBorders>
            <w:top w:val="single" w:color="auto" w:sz="8" w:space="0"/>
            <w:left w:val="single" w:color="auto" w:sz="8" w:space="0"/>
            <w:bottom w:val="single" w:color="auto" w:sz="8" w:space="0"/>
            <w:right w:val="single" w:color="auto" w:sz="8" w:space="0"/>
            <w:insideH w:val="dotted" w:color="auto" w:sz="4" w:space="0"/>
            <w:insideV w:val="dotted" w:color="auto" w:sz="4" w:space="0"/>
          </w:tblBorders>
          <w:tblCellMar>
            <w:top w:w="0" w:type="dxa"/>
            <w:left w:w="108" w:type="dxa"/>
            <w:bottom w:w="0" w:type="dxa"/>
            <w:right w:w="108" w:type="dxa"/>
          </w:tblCellMar>
        </w:tblPrEx>
        <w:trPr>
          <w:cantSplit/>
          <w:trHeight w:val="1095" w:hRule="atLeast"/>
          <w:jc w:val="center"/>
        </w:trPr>
        <w:tc>
          <w:tcPr>
            <w:tcW w:w="1010" w:type="dxa"/>
            <w:vMerge w:val="continue"/>
            <w:tcBorders>
              <w:top w:val="nil"/>
              <w:left w:val="single" w:color="auto" w:sz="4" w:space="0"/>
              <w:bottom w:val="dotted" w:color="auto" w:sz="4" w:space="0"/>
              <w:right w:val="single" w:color="auto" w:sz="4" w:space="0"/>
            </w:tcBorders>
            <w:vAlign w:val="center"/>
          </w:tcPr>
          <w:p>
            <w:pPr>
              <w:widowControl/>
              <w:jc w:val="left"/>
              <w:rPr>
                <w:rFonts w:hint="eastAsia" w:ascii="仿宋_GB2312" w:hAnsi="仿宋_GB2312" w:eastAsia="仿宋_GB2312" w:cs="仿宋_GB2312"/>
                <w:bCs/>
                <w:sz w:val="32"/>
                <w:szCs w:val="32"/>
              </w:rPr>
            </w:pPr>
          </w:p>
        </w:tc>
        <w:tc>
          <w:tcPr>
            <w:tcW w:w="1843" w:type="dxa"/>
            <w:tcBorders>
              <w:top w:val="single" w:color="auto" w:sz="4" w:space="0"/>
              <w:left w:val="nil"/>
              <w:bottom w:val="single" w:color="auto" w:sz="4" w:space="0"/>
              <w:right w:val="single" w:color="auto" w:sz="4" w:space="0"/>
            </w:tcBorders>
            <w:vAlign w:val="center"/>
          </w:tcPr>
          <w:p>
            <w:pPr>
              <w:spacing w:line="480" w:lineRule="exact"/>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按照业务处理要求进行各系统的对账和结账的期末处理</w:t>
            </w:r>
          </w:p>
        </w:tc>
        <w:tc>
          <w:tcPr>
            <w:tcW w:w="4536" w:type="dxa"/>
            <w:tcBorders>
              <w:top w:val="single" w:color="auto" w:sz="4" w:space="0"/>
              <w:left w:val="nil"/>
              <w:bottom w:val="single" w:color="auto" w:sz="4" w:space="0"/>
              <w:right w:val="single" w:color="auto" w:sz="4" w:space="0"/>
            </w:tcBorders>
            <w:vAlign w:val="center"/>
          </w:tcPr>
          <w:p>
            <w:pPr>
              <w:spacing w:line="480" w:lineRule="exact"/>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根据对账和结账的期末处理过程进行评分</w:t>
            </w:r>
          </w:p>
        </w:tc>
        <w:tc>
          <w:tcPr>
            <w:tcW w:w="1276" w:type="dxa"/>
            <w:vMerge w:val="continue"/>
            <w:tcBorders>
              <w:top w:val="nil"/>
              <w:left w:val="nil"/>
              <w:bottom w:val="dotted" w:color="auto" w:sz="4" w:space="0"/>
              <w:right w:val="single" w:color="auto" w:sz="4" w:space="0"/>
            </w:tcBorders>
            <w:vAlign w:val="center"/>
          </w:tcPr>
          <w:p>
            <w:pPr>
              <w:widowControl/>
              <w:jc w:val="left"/>
              <w:rPr>
                <w:rFonts w:hint="eastAsia" w:ascii="仿宋_GB2312" w:hAnsi="仿宋_GB2312" w:eastAsia="仿宋_GB2312" w:cs="仿宋_GB2312"/>
                <w:bCs/>
                <w:sz w:val="32"/>
                <w:szCs w:val="32"/>
              </w:rPr>
            </w:pPr>
          </w:p>
        </w:tc>
        <w:tc>
          <w:tcPr>
            <w:tcW w:w="1182" w:type="dxa"/>
            <w:tcBorders>
              <w:top w:val="single" w:color="auto" w:sz="4" w:space="0"/>
              <w:left w:val="nil"/>
              <w:bottom w:val="single" w:color="auto" w:sz="4" w:space="0"/>
              <w:right w:val="single" w:color="auto" w:sz="4" w:space="0"/>
            </w:tcBorders>
            <w:vAlign w:val="center"/>
          </w:tcPr>
          <w:p>
            <w:pPr>
              <w:spacing w:line="48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自动评分</w:t>
            </w:r>
          </w:p>
        </w:tc>
      </w:tr>
      <w:tr>
        <w:tblPrEx>
          <w:tblBorders>
            <w:top w:val="single" w:color="auto" w:sz="8" w:space="0"/>
            <w:left w:val="single" w:color="auto" w:sz="8" w:space="0"/>
            <w:bottom w:val="single" w:color="auto" w:sz="8" w:space="0"/>
            <w:right w:val="single" w:color="auto" w:sz="8" w:space="0"/>
            <w:insideH w:val="dotted" w:color="auto" w:sz="4" w:space="0"/>
            <w:insideV w:val="dotted" w:color="auto" w:sz="4" w:space="0"/>
          </w:tblBorders>
          <w:tblCellMar>
            <w:top w:w="0" w:type="dxa"/>
            <w:left w:w="108" w:type="dxa"/>
            <w:bottom w:w="0" w:type="dxa"/>
            <w:right w:w="108" w:type="dxa"/>
          </w:tblCellMar>
        </w:tblPrEx>
        <w:trPr>
          <w:cantSplit/>
          <w:trHeight w:val="871" w:hRule="atLeast"/>
          <w:jc w:val="center"/>
        </w:trPr>
        <w:tc>
          <w:tcPr>
            <w:tcW w:w="1010" w:type="dxa"/>
            <w:tcBorders>
              <w:top w:val="single" w:color="auto" w:sz="4" w:space="0"/>
              <w:left w:val="single" w:color="auto" w:sz="4" w:space="0"/>
              <w:bottom w:val="single" w:color="auto" w:sz="4" w:space="0"/>
              <w:right w:val="single" w:color="auto" w:sz="4" w:space="0"/>
            </w:tcBorders>
            <w:vAlign w:val="center"/>
          </w:tcPr>
          <w:p>
            <w:pPr>
              <w:spacing w:line="480" w:lineRule="exact"/>
              <w:jc w:val="center"/>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编制</w:t>
            </w:r>
          </w:p>
          <w:p>
            <w:pPr>
              <w:spacing w:line="480" w:lineRule="exact"/>
              <w:jc w:val="center"/>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财务报表</w:t>
            </w:r>
          </w:p>
        </w:tc>
        <w:tc>
          <w:tcPr>
            <w:tcW w:w="1843" w:type="dxa"/>
            <w:tcBorders>
              <w:top w:val="single" w:color="auto" w:sz="4" w:space="0"/>
              <w:left w:val="nil"/>
              <w:bottom w:val="single" w:color="auto" w:sz="4" w:space="0"/>
              <w:right w:val="single" w:color="auto" w:sz="4" w:space="0"/>
            </w:tcBorders>
            <w:vAlign w:val="center"/>
          </w:tcPr>
          <w:p>
            <w:pPr>
              <w:spacing w:line="480" w:lineRule="exact"/>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编制资产负债表、利润表等财务相关报表并完成取数和保存</w:t>
            </w:r>
          </w:p>
        </w:tc>
        <w:tc>
          <w:tcPr>
            <w:tcW w:w="4536" w:type="dxa"/>
            <w:tcBorders>
              <w:top w:val="single" w:color="auto" w:sz="4" w:space="0"/>
              <w:left w:val="nil"/>
              <w:bottom w:val="single" w:color="auto" w:sz="4" w:space="0"/>
              <w:right w:val="single" w:color="auto" w:sz="4" w:space="0"/>
            </w:tcBorders>
            <w:vAlign w:val="center"/>
          </w:tcPr>
          <w:p>
            <w:pPr>
              <w:spacing w:line="480" w:lineRule="exact"/>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根据要求完成报表相关项目的设置和生成的数据评分</w:t>
            </w:r>
          </w:p>
        </w:tc>
        <w:tc>
          <w:tcPr>
            <w:tcW w:w="1276" w:type="dxa"/>
            <w:tcBorders>
              <w:top w:val="single" w:color="auto" w:sz="4" w:space="0"/>
              <w:left w:val="nil"/>
              <w:bottom w:val="single" w:color="auto" w:sz="4" w:space="0"/>
              <w:right w:val="single" w:color="auto" w:sz="4" w:space="0"/>
            </w:tcBorders>
            <w:vAlign w:val="center"/>
          </w:tcPr>
          <w:p>
            <w:pPr>
              <w:spacing w:line="480" w:lineRule="exact"/>
              <w:jc w:val="center"/>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10</w:t>
            </w:r>
          </w:p>
        </w:tc>
        <w:tc>
          <w:tcPr>
            <w:tcW w:w="1182" w:type="dxa"/>
            <w:tcBorders>
              <w:top w:val="single" w:color="auto" w:sz="4" w:space="0"/>
              <w:left w:val="nil"/>
              <w:bottom w:val="single" w:color="auto" w:sz="4" w:space="0"/>
              <w:right w:val="single" w:color="auto" w:sz="4" w:space="0"/>
            </w:tcBorders>
            <w:vAlign w:val="center"/>
          </w:tcPr>
          <w:p>
            <w:pPr>
              <w:spacing w:line="480" w:lineRule="exact"/>
              <w:jc w:val="center"/>
              <w:rPr>
                <w:rFonts w:hint="eastAsia" w:ascii="仿宋_GB2312" w:hAnsi="仿宋_GB2312" w:eastAsia="仿宋_GB2312" w:cs="仿宋_GB2312"/>
                <w:bCs/>
                <w:sz w:val="32"/>
                <w:szCs w:val="32"/>
              </w:rPr>
            </w:pPr>
            <w:r>
              <w:rPr>
                <w:rFonts w:hint="eastAsia" w:ascii="仿宋_GB2312" w:hAnsi="仿宋_GB2312" w:eastAsia="仿宋_GB2312" w:cs="仿宋_GB2312"/>
                <w:sz w:val="32"/>
                <w:szCs w:val="32"/>
              </w:rPr>
              <w:t>自动评分</w:t>
            </w:r>
          </w:p>
        </w:tc>
      </w:tr>
      <w:tr>
        <w:tblPrEx>
          <w:tblBorders>
            <w:top w:val="single" w:color="auto" w:sz="8" w:space="0"/>
            <w:left w:val="single" w:color="auto" w:sz="8" w:space="0"/>
            <w:bottom w:val="single" w:color="auto" w:sz="8" w:space="0"/>
            <w:right w:val="single" w:color="auto" w:sz="8" w:space="0"/>
            <w:insideH w:val="dotted" w:color="auto" w:sz="4" w:space="0"/>
            <w:insideV w:val="dotted" w:color="auto" w:sz="4" w:space="0"/>
          </w:tblBorders>
          <w:tblCellMar>
            <w:top w:w="0" w:type="dxa"/>
            <w:left w:w="108" w:type="dxa"/>
            <w:bottom w:w="0" w:type="dxa"/>
            <w:right w:w="108" w:type="dxa"/>
          </w:tblCellMar>
        </w:tblPrEx>
        <w:trPr>
          <w:cantSplit/>
          <w:trHeight w:val="698" w:hRule="atLeast"/>
          <w:jc w:val="center"/>
        </w:trPr>
        <w:tc>
          <w:tcPr>
            <w:tcW w:w="7389" w:type="dxa"/>
            <w:gridSpan w:val="3"/>
            <w:tcBorders>
              <w:top w:val="single" w:color="auto" w:sz="4" w:space="0"/>
              <w:left w:val="single" w:color="auto" w:sz="4" w:space="0"/>
              <w:bottom w:val="single" w:color="auto" w:sz="4" w:space="0"/>
              <w:right w:val="single" w:color="auto" w:sz="4" w:space="0"/>
            </w:tcBorders>
            <w:vAlign w:val="center"/>
          </w:tcPr>
          <w:p>
            <w:pPr>
              <w:snapToGrid w:val="0"/>
              <w:spacing w:line="480" w:lineRule="exact"/>
              <w:jc w:val="center"/>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合          计</w:t>
            </w:r>
          </w:p>
        </w:tc>
        <w:tc>
          <w:tcPr>
            <w:tcW w:w="1276" w:type="dxa"/>
            <w:tcBorders>
              <w:top w:val="single" w:color="auto" w:sz="4" w:space="0"/>
              <w:left w:val="nil"/>
              <w:bottom w:val="single" w:color="auto" w:sz="4" w:space="0"/>
              <w:right w:val="single" w:color="auto" w:sz="4" w:space="0"/>
            </w:tcBorders>
            <w:vAlign w:val="center"/>
          </w:tcPr>
          <w:p>
            <w:pPr>
              <w:snapToGrid w:val="0"/>
              <w:spacing w:line="480" w:lineRule="exact"/>
              <w:jc w:val="center"/>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100</w:t>
            </w:r>
          </w:p>
        </w:tc>
        <w:tc>
          <w:tcPr>
            <w:tcW w:w="1182" w:type="dxa"/>
            <w:tcBorders>
              <w:top w:val="single" w:color="auto" w:sz="4" w:space="0"/>
              <w:left w:val="nil"/>
              <w:bottom w:val="single" w:color="auto" w:sz="4" w:space="0"/>
              <w:right w:val="single" w:color="auto" w:sz="4" w:space="0"/>
            </w:tcBorders>
          </w:tcPr>
          <w:p>
            <w:pPr>
              <w:snapToGrid w:val="0"/>
              <w:spacing w:line="480" w:lineRule="exact"/>
              <w:jc w:val="center"/>
              <w:rPr>
                <w:rFonts w:hint="eastAsia" w:ascii="仿宋_GB2312" w:hAnsi="仿宋_GB2312" w:eastAsia="仿宋_GB2312" w:cs="仿宋_GB2312"/>
                <w:bCs/>
                <w:sz w:val="32"/>
                <w:szCs w:val="32"/>
              </w:rPr>
            </w:pPr>
          </w:p>
        </w:tc>
      </w:tr>
    </w:tbl>
    <w:p>
      <w:pPr>
        <w:adjustRightInd w:val="0"/>
        <w:snapToGrid w:val="0"/>
        <w:spacing w:line="560" w:lineRule="exact"/>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 xml:space="preserve"> </w:t>
      </w:r>
    </w:p>
    <w:p>
      <w:pPr>
        <w:spacing w:line="560" w:lineRule="exact"/>
        <w:jc w:val="left"/>
        <w:rPr>
          <w:rFonts w:hint="eastAsia" w:ascii="黑体" w:hAnsi="黑体" w:eastAsia="黑体" w:cs="黑体"/>
          <w:b/>
          <w:bCs/>
          <w:sz w:val="32"/>
          <w:szCs w:val="32"/>
        </w:rPr>
      </w:pPr>
      <w:r>
        <w:rPr>
          <w:rFonts w:hint="eastAsia" w:ascii="黑体" w:hAnsi="黑体" w:eastAsia="黑体" w:cs="黑体"/>
          <w:b/>
          <w:bCs/>
          <w:sz w:val="32"/>
          <w:szCs w:val="32"/>
        </w:rPr>
        <w:t>八、奖项设置</w:t>
      </w:r>
    </w:p>
    <w:p>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bCs/>
          <w:sz w:val="32"/>
          <w:szCs w:val="32"/>
        </w:rPr>
        <w:t>赛项设一、二、三等奖。一等奖按参赛选手人数的10%设置，二等奖按参赛选手人数的20%设置，三等奖按参赛选手人数的30%设置，不设优秀奖。大赛为一等奖获奖选手的指导老师设置优秀指导教师奖。</w:t>
      </w:r>
      <w:r>
        <w:rPr>
          <w:rFonts w:hint="eastAsia" w:ascii="仿宋_GB2312" w:hAnsi="仿宋_GB2312" w:eastAsia="仿宋_GB2312" w:cs="仿宋_GB2312"/>
          <w:sz w:val="32"/>
          <w:szCs w:val="32"/>
        </w:rPr>
        <w:t xml:space="preserve"> </w:t>
      </w:r>
    </w:p>
    <w:p>
      <w:pPr>
        <w:spacing w:line="560" w:lineRule="exact"/>
        <w:jc w:val="left"/>
        <w:rPr>
          <w:rFonts w:hint="eastAsia" w:ascii="黑体" w:hAnsi="黑体" w:eastAsia="黑体" w:cs="黑体"/>
          <w:b/>
          <w:bCs/>
          <w:sz w:val="32"/>
          <w:szCs w:val="32"/>
        </w:rPr>
      </w:pPr>
      <w:r>
        <w:rPr>
          <w:rFonts w:hint="eastAsia" w:ascii="黑体" w:hAnsi="黑体" w:eastAsia="黑体" w:cs="黑体"/>
          <w:b/>
          <w:bCs/>
          <w:sz w:val="32"/>
          <w:szCs w:val="32"/>
        </w:rPr>
        <w:t>九、2025年兰州市中等职业学校会计电算化大赛比赛日程安排</w:t>
      </w:r>
    </w:p>
    <w:p>
      <w:pPr>
        <w:spacing w:line="560" w:lineRule="exact"/>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p>
    <w:tbl>
      <w:tblPr>
        <w:tblStyle w:val="3"/>
        <w:tblW w:w="9736" w:type="dxa"/>
        <w:tblInd w:w="0" w:type="dxa"/>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Layout w:type="fixed"/>
        <w:tblCellMar>
          <w:top w:w="0" w:type="dxa"/>
          <w:left w:w="108" w:type="dxa"/>
          <w:bottom w:w="0" w:type="dxa"/>
          <w:right w:w="108" w:type="dxa"/>
        </w:tblCellMar>
      </w:tblPr>
      <w:tblGrid>
        <w:gridCol w:w="846"/>
        <w:gridCol w:w="1701"/>
        <w:gridCol w:w="1701"/>
        <w:gridCol w:w="2835"/>
        <w:gridCol w:w="2653"/>
      </w:tblGrid>
      <w:tr>
        <w:tblPrEx>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CellMar>
            <w:top w:w="0" w:type="dxa"/>
            <w:left w:w="108" w:type="dxa"/>
            <w:bottom w:w="0" w:type="dxa"/>
            <w:right w:w="108" w:type="dxa"/>
          </w:tblCellMar>
        </w:tblPrEx>
        <w:tc>
          <w:tcPr>
            <w:tcW w:w="846" w:type="dxa"/>
            <w:tcBorders>
              <w:top w:val="single" w:color="5B9BD5" w:sz="4" w:space="0"/>
              <w:left w:val="single" w:color="5B9BD5" w:sz="4" w:space="0"/>
              <w:bottom w:val="single" w:color="5B9BD5" w:sz="4" w:space="0"/>
              <w:right w:val="nil"/>
            </w:tcBorders>
            <w:shd w:val="clear" w:color="auto" w:fill="5B9BD5"/>
          </w:tcPr>
          <w:p>
            <w:pPr>
              <w:spacing w:line="360" w:lineRule="auto"/>
              <w:jc w:val="center"/>
              <w:rPr>
                <w:rFonts w:hint="eastAsia" w:ascii="仿宋_GB2312" w:hAnsi="仿宋_GB2312" w:eastAsia="仿宋_GB2312" w:cs="仿宋_GB2312"/>
                <w:b/>
                <w:bCs/>
                <w:color w:val="FFFFFF"/>
                <w:sz w:val="32"/>
                <w:szCs w:val="32"/>
              </w:rPr>
            </w:pPr>
            <w:r>
              <w:rPr>
                <w:rFonts w:hint="eastAsia" w:ascii="仿宋_GB2312" w:hAnsi="仿宋_GB2312" w:eastAsia="仿宋_GB2312" w:cs="仿宋_GB2312"/>
                <w:b/>
                <w:bCs/>
                <w:color w:val="FFFFFF"/>
                <w:kern w:val="0"/>
                <w:sz w:val="32"/>
                <w:szCs w:val="32"/>
              </w:rPr>
              <w:t>日期</w:t>
            </w:r>
          </w:p>
        </w:tc>
        <w:tc>
          <w:tcPr>
            <w:tcW w:w="1701" w:type="dxa"/>
            <w:tcBorders>
              <w:top w:val="single" w:color="5B9BD5" w:sz="4" w:space="0"/>
              <w:left w:val="single" w:color="9CC2E5" w:sz="4" w:space="0"/>
              <w:bottom w:val="single" w:color="5B9BD5" w:sz="4" w:space="0"/>
              <w:right w:val="nil"/>
            </w:tcBorders>
            <w:shd w:val="clear" w:color="auto" w:fill="5B9BD5"/>
          </w:tcPr>
          <w:p>
            <w:pPr>
              <w:spacing w:line="360" w:lineRule="auto"/>
              <w:jc w:val="center"/>
              <w:rPr>
                <w:rFonts w:hint="eastAsia" w:ascii="仿宋_GB2312" w:hAnsi="仿宋_GB2312" w:eastAsia="仿宋_GB2312" w:cs="仿宋_GB2312"/>
                <w:b/>
                <w:bCs/>
                <w:color w:val="FFFFFF"/>
                <w:sz w:val="32"/>
                <w:szCs w:val="32"/>
              </w:rPr>
            </w:pPr>
            <w:r>
              <w:rPr>
                <w:rFonts w:hint="eastAsia" w:ascii="仿宋_GB2312" w:hAnsi="仿宋_GB2312" w:eastAsia="仿宋_GB2312" w:cs="仿宋_GB2312"/>
                <w:b/>
                <w:bCs/>
                <w:color w:val="FFFFFF"/>
                <w:kern w:val="0"/>
                <w:sz w:val="32"/>
                <w:szCs w:val="32"/>
              </w:rPr>
              <w:t>时间</w:t>
            </w:r>
          </w:p>
        </w:tc>
        <w:tc>
          <w:tcPr>
            <w:tcW w:w="1701" w:type="dxa"/>
            <w:tcBorders>
              <w:top w:val="single" w:color="5B9BD5" w:sz="4" w:space="0"/>
              <w:left w:val="single" w:color="9CC2E5" w:sz="4" w:space="0"/>
              <w:bottom w:val="single" w:color="5B9BD5" w:sz="4" w:space="0"/>
              <w:right w:val="nil"/>
            </w:tcBorders>
            <w:shd w:val="clear" w:color="auto" w:fill="5B9BD5"/>
          </w:tcPr>
          <w:p>
            <w:pPr>
              <w:spacing w:line="360" w:lineRule="auto"/>
              <w:jc w:val="center"/>
              <w:rPr>
                <w:rFonts w:hint="eastAsia" w:ascii="仿宋_GB2312" w:hAnsi="仿宋_GB2312" w:eastAsia="仿宋_GB2312" w:cs="仿宋_GB2312"/>
                <w:b/>
                <w:bCs/>
                <w:color w:val="FFFFFF"/>
                <w:sz w:val="32"/>
                <w:szCs w:val="32"/>
              </w:rPr>
            </w:pPr>
            <w:r>
              <w:rPr>
                <w:rFonts w:hint="eastAsia" w:ascii="仿宋_GB2312" w:hAnsi="仿宋_GB2312" w:eastAsia="仿宋_GB2312" w:cs="仿宋_GB2312"/>
                <w:b/>
                <w:bCs/>
                <w:color w:val="FFFFFF"/>
                <w:kern w:val="0"/>
                <w:sz w:val="32"/>
                <w:szCs w:val="32"/>
              </w:rPr>
              <w:t>内容</w:t>
            </w:r>
          </w:p>
        </w:tc>
        <w:tc>
          <w:tcPr>
            <w:tcW w:w="2835" w:type="dxa"/>
            <w:tcBorders>
              <w:top w:val="single" w:color="5B9BD5" w:sz="4" w:space="0"/>
              <w:left w:val="single" w:color="9CC2E5" w:sz="4" w:space="0"/>
              <w:bottom w:val="single" w:color="5B9BD5" w:sz="4" w:space="0"/>
              <w:right w:val="nil"/>
            </w:tcBorders>
            <w:shd w:val="clear" w:color="auto" w:fill="5B9BD5"/>
          </w:tcPr>
          <w:p>
            <w:pPr>
              <w:spacing w:line="360" w:lineRule="auto"/>
              <w:jc w:val="center"/>
              <w:rPr>
                <w:rFonts w:hint="eastAsia" w:ascii="仿宋_GB2312" w:hAnsi="仿宋_GB2312" w:eastAsia="仿宋_GB2312" w:cs="仿宋_GB2312"/>
                <w:b/>
                <w:bCs/>
                <w:color w:val="FFFFFF"/>
                <w:sz w:val="32"/>
                <w:szCs w:val="32"/>
              </w:rPr>
            </w:pPr>
            <w:r>
              <w:rPr>
                <w:rFonts w:hint="eastAsia" w:ascii="仿宋_GB2312" w:hAnsi="仿宋_GB2312" w:eastAsia="仿宋_GB2312" w:cs="仿宋_GB2312"/>
                <w:b/>
                <w:bCs/>
                <w:color w:val="FFFFFF"/>
                <w:kern w:val="0"/>
                <w:sz w:val="32"/>
                <w:szCs w:val="32"/>
              </w:rPr>
              <w:t>地点</w:t>
            </w:r>
          </w:p>
        </w:tc>
        <w:tc>
          <w:tcPr>
            <w:tcW w:w="2653" w:type="dxa"/>
            <w:tcBorders>
              <w:top w:val="single" w:color="5B9BD5" w:sz="4" w:space="0"/>
              <w:left w:val="single" w:color="9CC2E5" w:sz="4" w:space="0"/>
              <w:bottom w:val="single" w:color="5B9BD5" w:sz="4" w:space="0"/>
              <w:right w:val="single" w:color="5B9BD5" w:sz="4" w:space="0"/>
            </w:tcBorders>
            <w:shd w:val="clear" w:color="auto" w:fill="5B9BD5"/>
          </w:tcPr>
          <w:p>
            <w:pPr>
              <w:spacing w:line="360" w:lineRule="auto"/>
              <w:jc w:val="center"/>
              <w:rPr>
                <w:rFonts w:hint="eastAsia" w:ascii="仿宋_GB2312" w:hAnsi="仿宋_GB2312" w:eastAsia="仿宋_GB2312" w:cs="仿宋_GB2312"/>
                <w:b/>
                <w:bCs/>
                <w:color w:val="FFFFFF"/>
                <w:sz w:val="32"/>
                <w:szCs w:val="32"/>
              </w:rPr>
            </w:pPr>
            <w:r>
              <w:rPr>
                <w:rFonts w:hint="eastAsia" w:ascii="仿宋_GB2312" w:hAnsi="仿宋_GB2312" w:eastAsia="仿宋_GB2312" w:cs="仿宋_GB2312"/>
                <w:b/>
                <w:bCs/>
                <w:color w:val="FFFFFF"/>
                <w:kern w:val="0"/>
                <w:sz w:val="32"/>
                <w:szCs w:val="32"/>
              </w:rPr>
              <w:t>注意事项</w:t>
            </w:r>
          </w:p>
        </w:tc>
      </w:tr>
      <w:tr>
        <w:tblPrEx>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CellMar>
            <w:top w:w="0" w:type="dxa"/>
            <w:left w:w="108" w:type="dxa"/>
            <w:bottom w:w="0" w:type="dxa"/>
            <w:right w:w="108" w:type="dxa"/>
          </w:tblCellMar>
        </w:tblPrEx>
        <w:tc>
          <w:tcPr>
            <w:tcW w:w="846" w:type="dxa"/>
            <w:vMerge w:val="restart"/>
            <w:tcBorders>
              <w:top w:val="nil"/>
              <w:left w:val="single" w:color="9CC2E5" w:sz="4" w:space="0"/>
              <w:bottom w:val="single" w:color="9CC2E5" w:sz="4" w:space="0"/>
              <w:right w:val="single" w:color="9CC2E5" w:sz="4" w:space="0"/>
            </w:tcBorders>
            <w:shd w:val="clear" w:color="auto" w:fill="DEEAF6"/>
            <w:vAlign w:val="center"/>
          </w:tcPr>
          <w:p>
            <w:pPr>
              <w:spacing w:line="360" w:lineRule="auto"/>
              <w:rPr>
                <w:rFonts w:hint="eastAsia" w:ascii="仿宋_GB2312" w:hAnsi="仿宋_GB2312" w:eastAsia="仿宋_GB2312" w:cs="仿宋_GB2312"/>
                <w:b/>
                <w:bCs/>
                <w:sz w:val="32"/>
                <w:szCs w:val="32"/>
              </w:rPr>
            </w:pPr>
            <w:r>
              <w:rPr>
                <w:rFonts w:hint="eastAsia" w:ascii="仿宋_GB2312" w:hAnsi="仿宋_GB2312" w:eastAsia="仿宋_GB2312" w:cs="仿宋_GB2312"/>
                <w:b/>
                <w:bCs/>
                <w:kern w:val="0"/>
                <w:sz w:val="32"/>
                <w:szCs w:val="32"/>
              </w:rPr>
              <w:t>11月 日</w:t>
            </w:r>
          </w:p>
        </w:tc>
        <w:tc>
          <w:tcPr>
            <w:tcW w:w="1701" w:type="dxa"/>
            <w:tcBorders>
              <w:top w:val="single" w:color="9CC2E5" w:sz="4" w:space="0"/>
              <w:left w:val="single" w:color="9CC2E5" w:sz="4" w:space="0"/>
              <w:bottom w:val="single" w:color="9CC2E5" w:sz="4" w:space="0"/>
              <w:right w:val="single" w:color="9CC2E5" w:sz="4" w:space="0"/>
            </w:tcBorders>
            <w:shd w:val="clear" w:color="auto" w:fill="DEEAF6"/>
            <w:vAlign w:val="center"/>
          </w:tcPr>
          <w:p>
            <w:pPr>
              <w:spacing w:line="360" w:lineRule="auto"/>
              <w:rPr>
                <w:rFonts w:hint="eastAsia" w:ascii="仿宋_GB2312" w:hAnsi="仿宋_GB2312" w:eastAsia="仿宋_GB2312" w:cs="仿宋_GB2312"/>
                <w:sz w:val="32"/>
                <w:szCs w:val="32"/>
              </w:rPr>
            </w:pPr>
            <w:r>
              <w:rPr>
                <w:rFonts w:hint="eastAsia" w:ascii="仿宋_GB2312" w:hAnsi="仿宋_GB2312" w:eastAsia="仿宋_GB2312" w:cs="仿宋_GB2312"/>
                <w:kern w:val="0"/>
                <w:sz w:val="32"/>
                <w:szCs w:val="32"/>
              </w:rPr>
              <w:t>15:00-15:30</w:t>
            </w:r>
          </w:p>
        </w:tc>
        <w:tc>
          <w:tcPr>
            <w:tcW w:w="1701" w:type="dxa"/>
            <w:tcBorders>
              <w:top w:val="single" w:color="9CC2E5" w:sz="4" w:space="0"/>
              <w:left w:val="single" w:color="9CC2E5" w:sz="4" w:space="0"/>
              <w:bottom w:val="single" w:color="9CC2E5" w:sz="4" w:space="0"/>
              <w:right w:val="single" w:color="9CC2E5" w:sz="4" w:space="0"/>
            </w:tcBorders>
            <w:shd w:val="clear" w:color="auto" w:fill="DEEAF6"/>
            <w:vAlign w:val="center"/>
          </w:tcPr>
          <w:p>
            <w:pPr>
              <w:spacing w:line="360" w:lineRule="auto"/>
              <w:rPr>
                <w:rFonts w:hint="eastAsia" w:ascii="仿宋_GB2312" w:hAnsi="仿宋_GB2312" w:eastAsia="仿宋_GB2312" w:cs="仿宋_GB2312"/>
                <w:sz w:val="32"/>
                <w:szCs w:val="32"/>
              </w:rPr>
            </w:pPr>
            <w:r>
              <w:rPr>
                <w:rFonts w:hint="eastAsia" w:ascii="仿宋_GB2312" w:hAnsi="仿宋_GB2312" w:eastAsia="仿宋_GB2312" w:cs="仿宋_GB2312"/>
                <w:kern w:val="0"/>
                <w:sz w:val="32"/>
                <w:szCs w:val="32"/>
              </w:rPr>
              <w:t>选手注册报到</w:t>
            </w:r>
          </w:p>
        </w:tc>
        <w:tc>
          <w:tcPr>
            <w:tcW w:w="2835" w:type="dxa"/>
            <w:tcBorders>
              <w:top w:val="single" w:color="9CC2E5" w:sz="4" w:space="0"/>
              <w:left w:val="single" w:color="9CC2E5" w:sz="4" w:space="0"/>
              <w:bottom w:val="single" w:color="9CC2E5" w:sz="4" w:space="0"/>
              <w:right w:val="single" w:color="9CC2E5" w:sz="4" w:space="0"/>
            </w:tcBorders>
            <w:shd w:val="clear" w:color="auto" w:fill="DEEAF6"/>
            <w:vAlign w:val="center"/>
          </w:tcPr>
          <w:p>
            <w:pPr>
              <w:spacing w:line="360" w:lineRule="auto"/>
              <w:rPr>
                <w:rFonts w:hint="eastAsia" w:ascii="仿宋_GB2312" w:hAnsi="仿宋_GB2312" w:eastAsia="仿宋_GB2312" w:cs="仿宋_GB2312"/>
                <w:sz w:val="32"/>
                <w:szCs w:val="32"/>
              </w:rPr>
            </w:pPr>
            <w:r>
              <w:rPr>
                <w:rFonts w:hint="eastAsia" w:ascii="仿宋_GB2312" w:hAnsi="仿宋_GB2312" w:eastAsia="仿宋_GB2312" w:cs="仿宋_GB2312"/>
                <w:kern w:val="0"/>
                <w:sz w:val="32"/>
                <w:szCs w:val="32"/>
              </w:rPr>
              <w:t>财经商贸学院教学北楼四楼4001室</w:t>
            </w:r>
          </w:p>
        </w:tc>
        <w:tc>
          <w:tcPr>
            <w:tcW w:w="2653" w:type="dxa"/>
            <w:tcBorders>
              <w:top w:val="single" w:color="9CC2E5" w:sz="4" w:space="0"/>
              <w:left w:val="single" w:color="9CC2E5" w:sz="4" w:space="0"/>
              <w:bottom w:val="single" w:color="9CC2E5" w:sz="4" w:space="0"/>
              <w:right w:val="single" w:color="9CC2E5" w:sz="4" w:space="0"/>
            </w:tcBorders>
            <w:shd w:val="clear" w:color="auto" w:fill="DEEAF6"/>
            <w:vAlign w:val="center"/>
          </w:tcPr>
          <w:p>
            <w:pPr>
              <w:spacing w:line="360" w:lineRule="auto"/>
              <w:rPr>
                <w:rFonts w:hint="eastAsia" w:ascii="仿宋_GB2312" w:hAnsi="仿宋_GB2312" w:eastAsia="仿宋_GB2312" w:cs="仿宋_GB2312"/>
                <w:sz w:val="32"/>
                <w:szCs w:val="32"/>
              </w:rPr>
            </w:pPr>
            <w:r>
              <w:rPr>
                <w:rFonts w:hint="eastAsia" w:ascii="仿宋_GB2312" w:hAnsi="仿宋_GB2312" w:eastAsia="仿宋_GB2312" w:cs="仿宋_GB2312"/>
                <w:kern w:val="0"/>
                <w:sz w:val="32"/>
                <w:szCs w:val="32"/>
              </w:rPr>
              <w:t>选手拿好学生证原件（或在校生证明）、身份证原件、保单复印件</w:t>
            </w:r>
          </w:p>
        </w:tc>
      </w:tr>
      <w:tr>
        <w:tblPrEx>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CellMar>
            <w:top w:w="0" w:type="dxa"/>
            <w:left w:w="108" w:type="dxa"/>
            <w:bottom w:w="0" w:type="dxa"/>
            <w:right w:w="108" w:type="dxa"/>
          </w:tblCellMar>
        </w:tblPrEx>
        <w:tc>
          <w:tcPr>
            <w:tcW w:w="9736" w:type="dxa"/>
            <w:vMerge w:val="continue"/>
            <w:tcBorders>
              <w:top w:val="nil"/>
              <w:left w:val="single" w:color="9CC2E5" w:sz="4" w:space="0"/>
              <w:bottom w:val="single" w:color="9CC2E5" w:sz="4" w:space="0"/>
              <w:right w:val="single" w:color="9CC2E5" w:sz="4" w:space="0"/>
            </w:tcBorders>
            <w:vAlign w:val="center"/>
          </w:tcPr>
          <w:p>
            <w:pPr>
              <w:widowControl/>
              <w:jc w:val="left"/>
              <w:rPr>
                <w:rFonts w:hint="eastAsia" w:ascii="仿宋_GB2312" w:hAnsi="仿宋_GB2312" w:eastAsia="仿宋_GB2312" w:cs="仿宋_GB2312"/>
                <w:b/>
                <w:bCs/>
                <w:sz w:val="32"/>
                <w:szCs w:val="32"/>
              </w:rPr>
            </w:pPr>
          </w:p>
        </w:tc>
        <w:tc>
          <w:tcPr>
            <w:tcW w:w="1701" w:type="dxa"/>
            <w:tcBorders>
              <w:top w:val="single" w:color="9CC2E5" w:sz="4" w:space="0"/>
              <w:left w:val="single" w:color="9CC2E5" w:sz="4" w:space="0"/>
              <w:bottom w:val="single" w:color="9CC2E5" w:sz="4" w:space="0"/>
              <w:right w:val="single" w:color="9CC2E5" w:sz="4" w:space="0"/>
            </w:tcBorders>
            <w:vAlign w:val="center"/>
          </w:tcPr>
          <w:p>
            <w:pPr>
              <w:spacing w:line="360" w:lineRule="auto"/>
              <w:rPr>
                <w:rFonts w:hint="eastAsia" w:ascii="仿宋_GB2312" w:hAnsi="仿宋_GB2312" w:eastAsia="仿宋_GB2312" w:cs="仿宋_GB2312"/>
                <w:sz w:val="32"/>
                <w:szCs w:val="32"/>
              </w:rPr>
            </w:pPr>
            <w:r>
              <w:rPr>
                <w:rFonts w:hint="eastAsia" w:ascii="仿宋_GB2312" w:hAnsi="仿宋_GB2312" w:eastAsia="仿宋_GB2312" w:cs="仿宋_GB2312"/>
                <w:kern w:val="0"/>
                <w:sz w:val="32"/>
                <w:szCs w:val="32"/>
              </w:rPr>
              <w:t>15:40-16:00</w:t>
            </w:r>
          </w:p>
        </w:tc>
        <w:tc>
          <w:tcPr>
            <w:tcW w:w="1701" w:type="dxa"/>
            <w:tcBorders>
              <w:top w:val="single" w:color="9CC2E5" w:sz="4" w:space="0"/>
              <w:left w:val="single" w:color="9CC2E5" w:sz="4" w:space="0"/>
              <w:bottom w:val="single" w:color="9CC2E5" w:sz="4" w:space="0"/>
              <w:right w:val="single" w:color="9CC2E5" w:sz="4" w:space="0"/>
            </w:tcBorders>
            <w:vAlign w:val="center"/>
          </w:tcPr>
          <w:p>
            <w:pPr>
              <w:spacing w:line="360" w:lineRule="auto"/>
              <w:rPr>
                <w:rFonts w:hint="eastAsia" w:ascii="仿宋_GB2312" w:hAnsi="仿宋_GB2312" w:eastAsia="仿宋_GB2312" w:cs="仿宋_GB2312"/>
                <w:sz w:val="32"/>
                <w:szCs w:val="32"/>
              </w:rPr>
            </w:pPr>
            <w:r>
              <w:rPr>
                <w:rFonts w:hint="eastAsia" w:ascii="仿宋_GB2312" w:hAnsi="仿宋_GB2312" w:eastAsia="仿宋_GB2312" w:cs="仿宋_GB2312"/>
                <w:kern w:val="0"/>
                <w:sz w:val="32"/>
                <w:szCs w:val="32"/>
              </w:rPr>
              <w:t>赛前说明</w:t>
            </w:r>
          </w:p>
        </w:tc>
        <w:tc>
          <w:tcPr>
            <w:tcW w:w="2835" w:type="dxa"/>
            <w:tcBorders>
              <w:top w:val="single" w:color="9CC2E5" w:sz="4" w:space="0"/>
              <w:left w:val="single" w:color="9CC2E5" w:sz="4" w:space="0"/>
              <w:bottom w:val="single" w:color="9CC2E5" w:sz="4" w:space="0"/>
              <w:right w:val="single" w:color="9CC2E5" w:sz="4" w:space="0"/>
            </w:tcBorders>
            <w:vAlign w:val="center"/>
          </w:tcPr>
          <w:p>
            <w:pPr>
              <w:spacing w:line="360" w:lineRule="auto"/>
              <w:rPr>
                <w:rFonts w:hint="eastAsia" w:ascii="仿宋_GB2312" w:hAnsi="仿宋_GB2312" w:eastAsia="仿宋_GB2312" w:cs="仿宋_GB2312"/>
                <w:sz w:val="32"/>
                <w:szCs w:val="32"/>
              </w:rPr>
            </w:pPr>
            <w:r>
              <w:rPr>
                <w:rFonts w:hint="eastAsia" w:ascii="仿宋_GB2312" w:hAnsi="仿宋_GB2312" w:eastAsia="仿宋_GB2312" w:cs="仿宋_GB2312"/>
                <w:kern w:val="0"/>
                <w:sz w:val="32"/>
                <w:szCs w:val="32"/>
              </w:rPr>
              <w:t>财经商贸学院教学北楼四楼4001室</w:t>
            </w:r>
          </w:p>
        </w:tc>
        <w:tc>
          <w:tcPr>
            <w:tcW w:w="2653" w:type="dxa"/>
            <w:tcBorders>
              <w:top w:val="single" w:color="9CC2E5" w:sz="4" w:space="0"/>
              <w:left w:val="single" w:color="9CC2E5" w:sz="4" w:space="0"/>
              <w:bottom w:val="single" w:color="9CC2E5" w:sz="4" w:space="0"/>
              <w:right w:val="single" w:color="9CC2E5" w:sz="4" w:space="0"/>
            </w:tcBorders>
            <w:vAlign w:val="center"/>
          </w:tcPr>
          <w:p>
            <w:pPr>
              <w:spacing w:line="360" w:lineRule="auto"/>
              <w:rPr>
                <w:rFonts w:hint="eastAsia" w:ascii="仿宋_GB2312" w:hAnsi="仿宋_GB2312" w:eastAsia="仿宋_GB2312" w:cs="仿宋_GB2312"/>
                <w:sz w:val="32"/>
                <w:szCs w:val="32"/>
              </w:rPr>
            </w:pPr>
          </w:p>
        </w:tc>
      </w:tr>
      <w:tr>
        <w:tblPrEx>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CellMar>
            <w:top w:w="0" w:type="dxa"/>
            <w:left w:w="108" w:type="dxa"/>
            <w:bottom w:w="0" w:type="dxa"/>
            <w:right w:w="108" w:type="dxa"/>
          </w:tblCellMar>
        </w:tblPrEx>
        <w:tc>
          <w:tcPr>
            <w:tcW w:w="9736" w:type="dxa"/>
            <w:vMerge w:val="continue"/>
            <w:tcBorders>
              <w:top w:val="nil"/>
              <w:left w:val="single" w:color="9CC2E5" w:sz="4" w:space="0"/>
              <w:bottom w:val="single" w:color="9CC2E5" w:sz="4" w:space="0"/>
              <w:right w:val="single" w:color="9CC2E5" w:sz="4" w:space="0"/>
            </w:tcBorders>
            <w:vAlign w:val="center"/>
          </w:tcPr>
          <w:p>
            <w:pPr>
              <w:widowControl/>
              <w:jc w:val="left"/>
              <w:rPr>
                <w:rFonts w:hint="eastAsia" w:ascii="仿宋_GB2312" w:hAnsi="仿宋_GB2312" w:eastAsia="仿宋_GB2312" w:cs="仿宋_GB2312"/>
                <w:b/>
                <w:bCs/>
                <w:sz w:val="32"/>
                <w:szCs w:val="32"/>
              </w:rPr>
            </w:pPr>
          </w:p>
        </w:tc>
        <w:tc>
          <w:tcPr>
            <w:tcW w:w="1701" w:type="dxa"/>
            <w:tcBorders>
              <w:top w:val="single" w:color="9CC2E5" w:sz="4" w:space="0"/>
              <w:left w:val="single" w:color="9CC2E5" w:sz="4" w:space="0"/>
              <w:bottom w:val="single" w:color="9CC2E5" w:sz="4" w:space="0"/>
              <w:right w:val="single" w:color="9CC2E5" w:sz="4" w:space="0"/>
            </w:tcBorders>
            <w:shd w:val="clear" w:color="auto" w:fill="DEEAF6"/>
            <w:vAlign w:val="center"/>
          </w:tcPr>
          <w:p>
            <w:pPr>
              <w:spacing w:line="360" w:lineRule="auto"/>
              <w:rPr>
                <w:rFonts w:hint="eastAsia" w:ascii="仿宋_GB2312" w:hAnsi="仿宋_GB2312" w:eastAsia="仿宋_GB2312" w:cs="仿宋_GB2312"/>
                <w:sz w:val="32"/>
                <w:szCs w:val="32"/>
              </w:rPr>
            </w:pPr>
            <w:r>
              <w:rPr>
                <w:rFonts w:hint="eastAsia" w:ascii="仿宋_GB2312" w:hAnsi="仿宋_GB2312" w:eastAsia="仿宋_GB2312" w:cs="仿宋_GB2312"/>
                <w:kern w:val="0"/>
                <w:sz w:val="32"/>
                <w:szCs w:val="32"/>
              </w:rPr>
              <w:t>16:00-16:30</w:t>
            </w:r>
          </w:p>
        </w:tc>
        <w:tc>
          <w:tcPr>
            <w:tcW w:w="1701" w:type="dxa"/>
            <w:tcBorders>
              <w:top w:val="single" w:color="9CC2E5" w:sz="4" w:space="0"/>
              <w:left w:val="single" w:color="9CC2E5" w:sz="4" w:space="0"/>
              <w:bottom w:val="single" w:color="9CC2E5" w:sz="4" w:space="0"/>
              <w:right w:val="single" w:color="9CC2E5" w:sz="4" w:space="0"/>
            </w:tcBorders>
            <w:shd w:val="clear" w:color="auto" w:fill="DEEAF6"/>
            <w:vAlign w:val="center"/>
          </w:tcPr>
          <w:p>
            <w:pPr>
              <w:spacing w:line="360" w:lineRule="auto"/>
              <w:rPr>
                <w:rFonts w:hint="eastAsia" w:ascii="仿宋_GB2312" w:hAnsi="仿宋_GB2312" w:eastAsia="仿宋_GB2312" w:cs="仿宋_GB2312"/>
                <w:sz w:val="32"/>
                <w:szCs w:val="32"/>
              </w:rPr>
            </w:pPr>
            <w:r>
              <w:rPr>
                <w:rFonts w:hint="eastAsia" w:ascii="仿宋_GB2312" w:hAnsi="仿宋_GB2312" w:eastAsia="仿宋_GB2312" w:cs="仿宋_GB2312"/>
                <w:kern w:val="0"/>
                <w:sz w:val="32"/>
                <w:szCs w:val="32"/>
              </w:rPr>
              <w:t>选手第一轮抽签</w:t>
            </w:r>
          </w:p>
        </w:tc>
        <w:tc>
          <w:tcPr>
            <w:tcW w:w="2835" w:type="dxa"/>
            <w:tcBorders>
              <w:top w:val="single" w:color="9CC2E5" w:sz="4" w:space="0"/>
              <w:left w:val="single" w:color="9CC2E5" w:sz="4" w:space="0"/>
              <w:bottom w:val="single" w:color="9CC2E5" w:sz="4" w:space="0"/>
              <w:right w:val="single" w:color="9CC2E5" w:sz="4" w:space="0"/>
            </w:tcBorders>
            <w:shd w:val="clear" w:color="auto" w:fill="DEEAF6"/>
            <w:vAlign w:val="center"/>
          </w:tcPr>
          <w:p>
            <w:pPr>
              <w:spacing w:line="360" w:lineRule="auto"/>
              <w:rPr>
                <w:rFonts w:hint="eastAsia" w:ascii="仿宋_GB2312" w:hAnsi="仿宋_GB2312" w:eastAsia="仿宋_GB2312" w:cs="仿宋_GB2312"/>
                <w:sz w:val="32"/>
                <w:szCs w:val="32"/>
              </w:rPr>
            </w:pPr>
            <w:r>
              <w:rPr>
                <w:rFonts w:hint="eastAsia" w:ascii="仿宋_GB2312" w:hAnsi="仿宋_GB2312" w:eastAsia="仿宋_GB2312" w:cs="仿宋_GB2312"/>
                <w:kern w:val="0"/>
                <w:sz w:val="32"/>
                <w:szCs w:val="32"/>
              </w:rPr>
              <w:t>财经商贸学院教学北楼四楼4001室</w:t>
            </w:r>
          </w:p>
        </w:tc>
        <w:tc>
          <w:tcPr>
            <w:tcW w:w="2653" w:type="dxa"/>
            <w:tcBorders>
              <w:top w:val="single" w:color="9CC2E5" w:sz="4" w:space="0"/>
              <w:left w:val="single" w:color="9CC2E5" w:sz="4" w:space="0"/>
              <w:bottom w:val="single" w:color="9CC2E5" w:sz="4" w:space="0"/>
              <w:right w:val="single" w:color="9CC2E5" w:sz="4" w:space="0"/>
            </w:tcBorders>
            <w:shd w:val="clear" w:color="auto" w:fill="DEEAF6"/>
            <w:vAlign w:val="center"/>
          </w:tcPr>
          <w:p>
            <w:pPr>
              <w:spacing w:line="360" w:lineRule="auto"/>
              <w:rPr>
                <w:rFonts w:hint="eastAsia" w:ascii="仿宋_GB2312" w:hAnsi="仿宋_GB2312" w:eastAsia="仿宋_GB2312" w:cs="仿宋_GB2312"/>
                <w:sz w:val="32"/>
                <w:szCs w:val="32"/>
              </w:rPr>
            </w:pPr>
            <w:r>
              <w:rPr>
                <w:rFonts w:hint="eastAsia" w:ascii="仿宋_GB2312" w:hAnsi="仿宋_GB2312" w:eastAsia="仿宋_GB2312" w:cs="仿宋_GB2312"/>
                <w:kern w:val="0"/>
                <w:sz w:val="32"/>
                <w:szCs w:val="32"/>
              </w:rPr>
              <w:t>抽签准时开始，请参赛选手准时到场</w:t>
            </w:r>
          </w:p>
        </w:tc>
      </w:tr>
      <w:tr>
        <w:tblPrEx>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CellMar>
            <w:top w:w="0" w:type="dxa"/>
            <w:left w:w="108" w:type="dxa"/>
            <w:bottom w:w="0" w:type="dxa"/>
            <w:right w:w="108" w:type="dxa"/>
          </w:tblCellMar>
        </w:tblPrEx>
        <w:tc>
          <w:tcPr>
            <w:tcW w:w="9736" w:type="dxa"/>
            <w:vMerge w:val="continue"/>
            <w:tcBorders>
              <w:top w:val="nil"/>
              <w:left w:val="single" w:color="9CC2E5" w:sz="4" w:space="0"/>
              <w:bottom w:val="single" w:color="9CC2E5" w:sz="4" w:space="0"/>
              <w:right w:val="single" w:color="9CC2E5" w:sz="4" w:space="0"/>
            </w:tcBorders>
            <w:vAlign w:val="center"/>
          </w:tcPr>
          <w:p>
            <w:pPr>
              <w:widowControl/>
              <w:jc w:val="left"/>
              <w:rPr>
                <w:rFonts w:hint="eastAsia" w:ascii="仿宋_GB2312" w:hAnsi="仿宋_GB2312" w:eastAsia="仿宋_GB2312" w:cs="仿宋_GB2312"/>
                <w:b/>
                <w:bCs/>
                <w:sz w:val="32"/>
                <w:szCs w:val="32"/>
              </w:rPr>
            </w:pPr>
          </w:p>
        </w:tc>
        <w:tc>
          <w:tcPr>
            <w:tcW w:w="1701" w:type="dxa"/>
            <w:tcBorders>
              <w:top w:val="single" w:color="9CC2E5" w:sz="4" w:space="0"/>
              <w:left w:val="single" w:color="9CC2E5" w:sz="4" w:space="0"/>
              <w:bottom w:val="single" w:color="9CC2E5" w:sz="4" w:space="0"/>
              <w:right w:val="single" w:color="9CC2E5" w:sz="4" w:space="0"/>
            </w:tcBorders>
            <w:vAlign w:val="center"/>
          </w:tcPr>
          <w:p>
            <w:pPr>
              <w:spacing w:line="360" w:lineRule="auto"/>
              <w:rPr>
                <w:rFonts w:hint="eastAsia" w:ascii="仿宋_GB2312" w:hAnsi="仿宋_GB2312" w:eastAsia="仿宋_GB2312" w:cs="仿宋_GB2312"/>
                <w:sz w:val="32"/>
                <w:szCs w:val="32"/>
              </w:rPr>
            </w:pPr>
            <w:r>
              <w:rPr>
                <w:rFonts w:hint="eastAsia" w:ascii="仿宋_GB2312" w:hAnsi="仿宋_GB2312" w:eastAsia="仿宋_GB2312" w:cs="仿宋_GB2312"/>
                <w:kern w:val="0"/>
                <w:sz w:val="32"/>
                <w:szCs w:val="32"/>
              </w:rPr>
              <w:t>16:30-17:00</w:t>
            </w:r>
          </w:p>
        </w:tc>
        <w:tc>
          <w:tcPr>
            <w:tcW w:w="1701" w:type="dxa"/>
            <w:tcBorders>
              <w:top w:val="single" w:color="9CC2E5" w:sz="4" w:space="0"/>
              <w:left w:val="single" w:color="9CC2E5" w:sz="4" w:space="0"/>
              <w:bottom w:val="single" w:color="9CC2E5" w:sz="4" w:space="0"/>
              <w:right w:val="single" w:color="9CC2E5" w:sz="4" w:space="0"/>
            </w:tcBorders>
            <w:vAlign w:val="center"/>
          </w:tcPr>
          <w:p>
            <w:pPr>
              <w:spacing w:line="360" w:lineRule="auto"/>
              <w:rPr>
                <w:rFonts w:hint="eastAsia" w:ascii="仿宋_GB2312" w:hAnsi="仿宋_GB2312" w:eastAsia="仿宋_GB2312" w:cs="仿宋_GB2312"/>
                <w:sz w:val="32"/>
                <w:szCs w:val="32"/>
              </w:rPr>
            </w:pPr>
            <w:r>
              <w:rPr>
                <w:rFonts w:hint="eastAsia" w:ascii="仿宋_GB2312" w:hAnsi="仿宋_GB2312" w:eastAsia="仿宋_GB2312" w:cs="仿宋_GB2312"/>
                <w:kern w:val="0"/>
                <w:sz w:val="32"/>
                <w:szCs w:val="32"/>
              </w:rPr>
              <w:t>选手熟悉赛场</w:t>
            </w:r>
          </w:p>
        </w:tc>
        <w:tc>
          <w:tcPr>
            <w:tcW w:w="2835" w:type="dxa"/>
            <w:tcBorders>
              <w:top w:val="single" w:color="9CC2E5" w:sz="4" w:space="0"/>
              <w:left w:val="single" w:color="9CC2E5" w:sz="4" w:space="0"/>
              <w:bottom w:val="single" w:color="9CC2E5" w:sz="4" w:space="0"/>
              <w:right w:val="single" w:color="9CC2E5" w:sz="4" w:space="0"/>
            </w:tcBorders>
            <w:vAlign w:val="center"/>
          </w:tcPr>
          <w:p>
            <w:pPr>
              <w:spacing w:line="360" w:lineRule="auto"/>
              <w:rPr>
                <w:rFonts w:hint="eastAsia" w:ascii="仿宋_GB2312" w:hAnsi="仿宋_GB2312" w:eastAsia="仿宋_GB2312" w:cs="仿宋_GB2312"/>
                <w:sz w:val="32"/>
                <w:szCs w:val="32"/>
              </w:rPr>
            </w:pPr>
            <w:r>
              <w:rPr>
                <w:rFonts w:hint="eastAsia" w:ascii="仿宋_GB2312" w:hAnsi="仿宋_GB2312" w:eastAsia="仿宋_GB2312" w:cs="仿宋_GB2312"/>
                <w:kern w:val="0"/>
                <w:sz w:val="32"/>
                <w:szCs w:val="32"/>
              </w:rPr>
              <w:t>财经商贸学院实训北楼四楼4001室</w:t>
            </w:r>
          </w:p>
        </w:tc>
        <w:tc>
          <w:tcPr>
            <w:tcW w:w="2653" w:type="dxa"/>
            <w:tcBorders>
              <w:top w:val="single" w:color="9CC2E5" w:sz="4" w:space="0"/>
              <w:left w:val="single" w:color="9CC2E5" w:sz="4" w:space="0"/>
              <w:bottom w:val="single" w:color="9CC2E5" w:sz="4" w:space="0"/>
              <w:right w:val="single" w:color="9CC2E5" w:sz="4" w:space="0"/>
            </w:tcBorders>
            <w:vAlign w:val="center"/>
          </w:tcPr>
          <w:p>
            <w:pPr>
              <w:spacing w:line="360" w:lineRule="auto"/>
              <w:rPr>
                <w:rFonts w:hint="eastAsia" w:ascii="仿宋_GB2312" w:hAnsi="仿宋_GB2312" w:eastAsia="仿宋_GB2312" w:cs="仿宋_GB2312"/>
                <w:sz w:val="32"/>
                <w:szCs w:val="32"/>
              </w:rPr>
            </w:pPr>
            <w:r>
              <w:rPr>
                <w:rFonts w:hint="eastAsia" w:ascii="仿宋_GB2312" w:hAnsi="仿宋_GB2312" w:eastAsia="仿宋_GB2312" w:cs="仿宋_GB2312"/>
                <w:kern w:val="0"/>
                <w:sz w:val="32"/>
                <w:szCs w:val="32"/>
              </w:rPr>
              <w:t>请参赛选手遵守引导员指引要求</w:t>
            </w:r>
          </w:p>
        </w:tc>
      </w:tr>
      <w:tr>
        <w:tblPrEx>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CellMar>
            <w:top w:w="0" w:type="dxa"/>
            <w:left w:w="108" w:type="dxa"/>
            <w:bottom w:w="0" w:type="dxa"/>
            <w:right w:w="108" w:type="dxa"/>
          </w:tblCellMar>
        </w:tblPrEx>
        <w:tc>
          <w:tcPr>
            <w:tcW w:w="846" w:type="dxa"/>
            <w:vMerge w:val="restart"/>
            <w:tcBorders>
              <w:top w:val="nil"/>
              <w:left w:val="single" w:color="9CC2E5" w:sz="4" w:space="0"/>
              <w:bottom w:val="single" w:color="9CC2E5" w:sz="4" w:space="0"/>
              <w:right w:val="single" w:color="9CC2E5" w:sz="4" w:space="0"/>
            </w:tcBorders>
            <w:shd w:val="clear" w:color="auto" w:fill="DEEAF6"/>
            <w:vAlign w:val="center"/>
          </w:tcPr>
          <w:p>
            <w:pPr>
              <w:spacing w:line="360" w:lineRule="auto"/>
              <w:rPr>
                <w:rFonts w:hint="eastAsia" w:ascii="仿宋_GB2312" w:hAnsi="仿宋_GB2312" w:eastAsia="仿宋_GB2312" w:cs="仿宋_GB2312"/>
                <w:b/>
                <w:bCs/>
                <w:sz w:val="32"/>
                <w:szCs w:val="32"/>
              </w:rPr>
            </w:pPr>
            <w:r>
              <w:rPr>
                <w:rFonts w:hint="eastAsia" w:ascii="仿宋_GB2312" w:hAnsi="仿宋_GB2312" w:eastAsia="仿宋_GB2312" w:cs="仿宋_GB2312"/>
                <w:b/>
                <w:bCs/>
                <w:kern w:val="0"/>
                <w:sz w:val="32"/>
                <w:szCs w:val="32"/>
              </w:rPr>
              <w:t>11月15日</w:t>
            </w:r>
          </w:p>
        </w:tc>
        <w:tc>
          <w:tcPr>
            <w:tcW w:w="1701" w:type="dxa"/>
            <w:tcBorders>
              <w:top w:val="single" w:color="9CC2E5" w:sz="4" w:space="0"/>
              <w:left w:val="single" w:color="9CC2E5" w:sz="4" w:space="0"/>
              <w:bottom w:val="single" w:color="9CC2E5" w:sz="4" w:space="0"/>
              <w:right w:val="single" w:color="9CC2E5" w:sz="4" w:space="0"/>
            </w:tcBorders>
            <w:shd w:val="clear" w:color="auto" w:fill="DEEAF6"/>
            <w:vAlign w:val="center"/>
          </w:tcPr>
          <w:p>
            <w:pPr>
              <w:spacing w:line="360" w:lineRule="auto"/>
              <w:rPr>
                <w:rFonts w:hint="eastAsia" w:ascii="仿宋_GB2312" w:hAnsi="仿宋_GB2312" w:eastAsia="仿宋_GB2312" w:cs="仿宋_GB2312"/>
                <w:sz w:val="32"/>
                <w:szCs w:val="32"/>
              </w:rPr>
            </w:pPr>
            <w:r>
              <w:rPr>
                <w:rFonts w:hint="eastAsia" w:ascii="仿宋_GB2312" w:hAnsi="仿宋_GB2312" w:eastAsia="仿宋_GB2312" w:cs="仿宋_GB2312"/>
                <w:kern w:val="0"/>
                <w:sz w:val="32"/>
                <w:szCs w:val="32"/>
              </w:rPr>
              <w:t>7:50-8:20</w:t>
            </w:r>
          </w:p>
        </w:tc>
        <w:tc>
          <w:tcPr>
            <w:tcW w:w="1701" w:type="dxa"/>
            <w:tcBorders>
              <w:top w:val="single" w:color="9CC2E5" w:sz="4" w:space="0"/>
              <w:left w:val="single" w:color="9CC2E5" w:sz="4" w:space="0"/>
              <w:bottom w:val="single" w:color="9CC2E5" w:sz="4" w:space="0"/>
              <w:right w:val="single" w:color="9CC2E5" w:sz="4" w:space="0"/>
            </w:tcBorders>
            <w:shd w:val="clear" w:color="auto" w:fill="DEEAF6"/>
            <w:vAlign w:val="center"/>
          </w:tcPr>
          <w:p>
            <w:pPr>
              <w:spacing w:line="360" w:lineRule="auto"/>
              <w:rPr>
                <w:rFonts w:hint="eastAsia" w:ascii="仿宋_GB2312" w:hAnsi="仿宋_GB2312" w:eastAsia="仿宋_GB2312" w:cs="仿宋_GB2312"/>
                <w:sz w:val="32"/>
                <w:szCs w:val="32"/>
              </w:rPr>
            </w:pPr>
            <w:r>
              <w:rPr>
                <w:rFonts w:hint="eastAsia" w:ascii="仿宋_GB2312" w:hAnsi="仿宋_GB2312" w:eastAsia="仿宋_GB2312" w:cs="仿宋_GB2312"/>
                <w:kern w:val="0"/>
                <w:sz w:val="32"/>
                <w:szCs w:val="32"/>
              </w:rPr>
              <w:t>选手第二轮抽签</w:t>
            </w:r>
          </w:p>
        </w:tc>
        <w:tc>
          <w:tcPr>
            <w:tcW w:w="2835" w:type="dxa"/>
            <w:tcBorders>
              <w:top w:val="single" w:color="9CC2E5" w:sz="4" w:space="0"/>
              <w:left w:val="single" w:color="9CC2E5" w:sz="4" w:space="0"/>
              <w:bottom w:val="single" w:color="9CC2E5" w:sz="4" w:space="0"/>
              <w:right w:val="single" w:color="9CC2E5" w:sz="4" w:space="0"/>
            </w:tcBorders>
            <w:shd w:val="clear" w:color="auto" w:fill="DEEAF6"/>
            <w:vAlign w:val="center"/>
          </w:tcPr>
          <w:p>
            <w:pPr>
              <w:spacing w:line="360" w:lineRule="auto"/>
              <w:rPr>
                <w:rFonts w:hint="eastAsia" w:ascii="仿宋_GB2312" w:hAnsi="仿宋_GB2312" w:eastAsia="仿宋_GB2312" w:cs="仿宋_GB2312"/>
                <w:sz w:val="32"/>
                <w:szCs w:val="32"/>
              </w:rPr>
            </w:pPr>
            <w:r>
              <w:rPr>
                <w:rFonts w:hint="eastAsia" w:ascii="仿宋_GB2312" w:hAnsi="仿宋_GB2312" w:eastAsia="仿宋_GB2312" w:cs="仿宋_GB2312"/>
                <w:kern w:val="0"/>
                <w:sz w:val="32"/>
                <w:szCs w:val="32"/>
              </w:rPr>
              <w:t>财经商贸学院实训北楼四楼</w:t>
            </w:r>
          </w:p>
        </w:tc>
        <w:tc>
          <w:tcPr>
            <w:tcW w:w="2653" w:type="dxa"/>
            <w:tcBorders>
              <w:top w:val="single" w:color="9CC2E5" w:sz="4" w:space="0"/>
              <w:left w:val="single" w:color="9CC2E5" w:sz="4" w:space="0"/>
              <w:bottom w:val="single" w:color="9CC2E5" w:sz="4" w:space="0"/>
              <w:right w:val="single" w:color="9CC2E5" w:sz="4" w:space="0"/>
            </w:tcBorders>
            <w:shd w:val="clear" w:color="auto" w:fill="DEEAF6"/>
            <w:vAlign w:val="center"/>
          </w:tcPr>
          <w:p>
            <w:pPr>
              <w:spacing w:line="360" w:lineRule="auto"/>
              <w:rPr>
                <w:rFonts w:hint="eastAsia" w:ascii="仿宋_GB2312" w:hAnsi="仿宋_GB2312" w:eastAsia="仿宋_GB2312" w:cs="仿宋_GB2312"/>
                <w:sz w:val="32"/>
                <w:szCs w:val="32"/>
              </w:rPr>
            </w:pPr>
            <w:r>
              <w:rPr>
                <w:rFonts w:hint="eastAsia" w:ascii="仿宋_GB2312" w:hAnsi="仿宋_GB2312" w:eastAsia="仿宋_GB2312" w:cs="仿宋_GB2312"/>
                <w:kern w:val="0"/>
                <w:sz w:val="32"/>
                <w:szCs w:val="32"/>
              </w:rPr>
              <w:t>抽签准时开始，请参赛选手提前10分钟到场</w:t>
            </w:r>
          </w:p>
        </w:tc>
      </w:tr>
      <w:tr>
        <w:tblPrEx>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CellMar>
            <w:top w:w="0" w:type="dxa"/>
            <w:left w:w="108" w:type="dxa"/>
            <w:bottom w:w="0" w:type="dxa"/>
            <w:right w:w="108" w:type="dxa"/>
          </w:tblCellMar>
        </w:tblPrEx>
        <w:tc>
          <w:tcPr>
            <w:tcW w:w="9736" w:type="dxa"/>
            <w:vMerge w:val="continue"/>
            <w:tcBorders>
              <w:top w:val="nil"/>
              <w:left w:val="single" w:color="9CC2E5" w:sz="4" w:space="0"/>
              <w:bottom w:val="single" w:color="9CC2E5" w:sz="4" w:space="0"/>
              <w:right w:val="single" w:color="9CC2E5" w:sz="4" w:space="0"/>
            </w:tcBorders>
            <w:vAlign w:val="center"/>
          </w:tcPr>
          <w:p>
            <w:pPr>
              <w:widowControl/>
              <w:jc w:val="left"/>
              <w:rPr>
                <w:rFonts w:hint="eastAsia" w:ascii="仿宋_GB2312" w:hAnsi="仿宋_GB2312" w:eastAsia="仿宋_GB2312" w:cs="仿宋_GB2312"/>
                <w:b/>
                <w:bCs/>
                <w:sz w:val="32"/>
                <w:szCs w:val="32"/>
              </w:rPr>
            </w:pPr>
          </w:p>
        </w:tc>
        <w:tc>
          <w:tcPr>
            <w:tcW w:w="1701" w:type="dxa"/>
            <w:tcBorders>
              <w:top w:val="single" w:color="9CC2E5" w:sz="4" w:space="0"/>
              <w:left w:val="single" w:color="9CC2E5" w:sz="4" w:space="0"/>
              <w:bottom w:val="single" w:color="9CC2E5" w:sz="4" w:space="0"/>
              <w:right w:val="single" w:color="9CC2E5" w:sz="4" w:space="0"/>
            </w:tcBorders>
            <w:vAlign w:val="center"/>
          </w:tcPr>
          <w:p>
            <w:pPr>
              <w:spacing w:line="360" w:lineRule="auto"/>
              <w:rPr>
                <w:rFonts w:hint="eastAsia" w:ascii="仿宋_GB2312" w:hAnsi="仿宋_GB2312" w:eastAsia="仿宋_GB2312" w:cs="仿宋_GB2312"/>
                <w:sz w:val="32"/>
                <w:szCs w:val="32"/>
              </w:rPr>
            </w:pPr>
            <w:r>
              <w:rPr>
                <w:rFonts w:hint="eastAsia" w:ascii="仿宋_GB2312" w:hAnsi="仿宋_GB2312" w:eastAsia="仿宋_GB2312" w:cs="仿宋_GB2312"/>
                <w:kern w:val="0"/>
                <w:sz w:val="32"/>
                <w:szCs w:val="32"/>
              </w:rPr>
              <w:t>8:20-8:30</w:t>
            </w:r>
          </w:p>
        </w:tc>
        <w:tc>
          <w:tcPr>
            <w:tcW w:w="1701" w:type="dxa"/>
            <w:tcBorders>
              <w:top w:val="single" w:color="9CC2E5" w:sz="4" w:space="0"/>
              <w:left w:val="single" w:color="9CC2E5" w:sz="4" w:space="0"/>
              <w:bottom w:val="single" w:color="9CC2E5" w:sz="4" w:space="0"/>
              <w:right w:val="single" w:color="9CC2E5" w:sz="4" w:space="0"/>
            </w:tcBorders>
            <w:vAlign w:val="center"/>
          </w:tcPr>
          <w:p>
            <w:pPr>
              <w:spacing w:line="360" w:lineRule="auto"/>
              <w:rPr>
                <w:rFonts w:hint="eastAsia" w:ascii="仿宋_GB2312" w:hAnsi="仿宋_GB2312" w:eastAsia="仿宋_GB2312" w:cs="仿宋_GB2312"/>
                <w:sz w:val="32"/>
                <w:szCs w:val="32"/>
              </w:rPr>
            </w:pPr>
            <w:r>
              <w:rPr>
                <w:rFonts w:hint="eastAsia" w:ascii="仿宋_GB2312" w:hAnsi="仿宋_GB2312" w:eastAsia="仿宋_GB2312" w:cs="仿宋_GB2312"/>
                <w:kern w:val="0"/>
                <w:sz w:val="32"/>
                <w:szCs w:val="32"/>
              </w:rPr>
              <w:t>选手进入赛场</w:t>
            </w:r>
          </w:p>
          <w:p>
            <w:pPr>
              <w:spacing w:line="360" w:lineRule="auto"/>
              <w:rPr>
                <w:rFonts w:hint="eastAsia" w:ascii="仿宋_GB2312" w:hAnsi="仿宋_GB2312" w:eastAsia="仿宋_GB2312" w:cs="仿宋_GB2312"/>
                <w:sz w:val="32"/>
                <w:szCs w:val="32"/>
              </w:rPr>
            </w:pPr>
          </w:p>
        </w:tc>
        <w:tc>
          <w:tcPr>
            <w:tcW w:w="2835" w:type="dxa"/>
            <w:tcBorders>
              <w:top w:val="single" w:color="9CC2E5" w:sz="4" w:space="0"/>
              <w:left w:val="single" w:color="9CC2E5" w:sz="4" w:space="0"/>
              <w:bottom w:val="single" w:color="9CC2E5" w:sz="4" w:space="0"/>
              <w:right w:val="single" w:color="9CC2E5" w:sz="4" w:space="0"/>
            </w:tcBorders>
            <w:vAlign w:val="center"/>
          </w:tcPr>
          <w:p>
            <w:pPr>
              <w:spacing w:line="360" w:lineRule="auto"/>
              <w:rPr>
                <w:rFonts w:hint="eastAsia" w:ascii="仿宋_GB2312" w:hAnsi="仿宋_GB2312" w:eastAsia="仿宋_GB2312" w:cs="仿宋_GB2312"/>
                <w:sz w:val="32"/>
                <w:szCs w:val="32"/>
              </w:rPr>
            </w:pPr>
            <w:r>
              <w:rPr>
                <w:rFonts w:hint="eastAsia" w:ascii="仿宋_GB2312" w:hAnsi="仿宋_GB2312" w:eastAsia="仿宋_GB2312" w:cs="仿宋_GB2312"/>
                <w:kern w:val="0"/>
                <w:sz w:val="32"/>
                <w:szCs w:val="32"/>
              </w:rPr>
              <w:t>财经商贸学院实训北楼四楼4001室</w:t>
            </w:r>
          </w:p>
          <w:p>
            <w:pPr>
              <w:spacing w:line="360" w:lineRule="auto"/>
              <w:rPr>
                <w:rFonts w:hint="eastAsia" w:ascii="仿宋_GB2312" w:hAnsi="仿宋_GB2312" w:eastAsia="仿宋_GB2312" w:cs="仿宋_GB2312"/>
                <w:sz w:val="32"/>
                <w:szCs w:val="32"/>
              </w:rPr>
            </w:pPr>
          </w:p>
        </w:tc>
        <w:tc>
          <w:tcPr>
            <w:tcW w:w="2653" w:type="dxa"/>
            <w:tcBorders>
              <w:top w:val="single" w:color="9CC2E5" w:sz="4" w:space="0"/>
              <w:left w:val="single" w:color="9CC2E5" w:sz="4" w:space="0"/>
              <w:bottom w:val="single" w:color="9CC2E5" w:sz="4" w:space="0"/>
              <w:right w:val="single" w:color="9CC2E5" w:sz="4" w:space="0"/>
            </w:tcBorders>
            <w:vAlign w:val="center"/>
          </w:tcPr>
          <w:p>
            <w:pPr>
              <w:spacing w:line="360" w:lineRule="auto"/>
              <w:rPr>
                <w:rFonts w:hint="eastAsia" w:ascii="仿宋_GB2312" w:hAnsi="仿宋_GB2312" w:eastAsia="仿宋_GB2312" w:cs="仿宋_GB2312"/>
                <w:sz w:val="32"/>
                <w:szCs w:val="32"/>
              </w:rPr>
            </w:pPr>
            <w:r>
              <w:rPr>
                <w:rFonts w:hint="eastAsia" w:ascii="仿宋_GB2312" w:hAnsi="仿宋_GB2312" w:eastAsia="仿宋_GB2312" w:cs="仿宋_GB2312"/>
                <w:kern w:val="0"/>
                <w:sz w:val="32"/>
                <w:szCs w:val="32"/>
              </w:rPr>
              <w:t>选手不得携带手机入场，手机存放在指定位置或由带队老师保管；带队老师在四楼休息室休息</w:t>
            </w:r>
          </w:p>
        </w:tc>
      </w:tr>
      <w:tr>
        <w:tblPrEx>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CellMar>
            <w:top w:w="0" w:type="dxa"/>
            <w:left w:w="108" w:type="dxa"/>
            <w:bottom w:w="0" w:type="dxa"/>
            <w:right w:w="108" w:type="dxa"/>
          </w:tblCellMar>
        </w:tblPrEx>
        <w:tc>
          <w:tcPr>
            <w:tcW w:w="9736" w:type="dxa"/>
            <w:vMerge w:val="continue"/>
            <w:tcBorders>
              <w:top w:val="nil"/>
              <w:left w:val="single" w:color="9CC2E5" w:sz="4" w:space="0"/>
              <w:bottom w:val="single" w:color="9CC2E5" w:sz="4" w:space="0"/>
              <w:right w:val="single" w:color="9CC2E5" w:sz="4" w:space="0"/>
            </w:tcBorders>
            <w:vAlign w:val="center"/>
          </w:tcPr>
          <w:p>
            <w:pPr>
              <w:widowControl/>
              <w:jc w:val="left"/>
              <w:rPr>
                <w:rFonts w:hint="eastAsia" w:ascii="仿宋_GB2312" w:hAnsi="仿宋_GB2312" w:eastAsia="仿宋_GB2312" w:cs="仿宋_GB2312"/>
                <w:b/>
                <w:bCs/>
                <w:sz w:val="32"/>
                <w:szCs w:val="32"/>
              </w:rPr>
            </w:pPr>
          </w:p>
        </w:tc>
        <w:tc>
          <w:tcPr>
            <w:tcW w:w="1701" w:type="dxa"/>
            <w:tcBorders>
              <w:top w:val="single" w:color="9CC2E5" w:sz="4" w:space="0"/>
              <w:left w:val="single" w:color="9CC2E5" w:sz="4" w:space="0"/>
              <w:bottom w:val="single" w:color="9CC2E5" w:sz="4" w:space="0"/>
              <w:right w:val="single" w:color="9CC2E5" w:sz="4" w:space="0"/>
            </w:tcBorders>
            <w:shd w:val="clear" w:color="auto" w:fill="DEEAF6"/>
            <w:vAlign w:val="center"/>
          </w:tcPr>
          <w:p>
            <w:pPr>
              <w:spacing w:line="360" w:lineRule="auto"/>
              <w:rPr>
                <w:rFonts w:hint="eastAsia" w:ascii="仿宋_GB2312" w:hAnsi="仿宋_GB2312" w:eastAsia="仿宋_GB2312" w:cs="仿宋_GB2312"/>
                <w:sz w:val="32"/>
                <w:szCs w:val="32"/>
              </w:rPr>
            </w:pPr>
            <w:r>
              <w:rPr>
                <w:rFonts w:hint="eastAsia" w:ascii="仿宋_GB2312" w:hAnsi="仿宋_GB2312" w:eastAsia="仿宋_GB2312" w:cs="仿宋_GB2312"/>
                <w:kern w:val="0"/>
                <w:sz w:val="32"/>
                <w:szCs w:val="32"/>
              </w:rPr>
              <w:t>9:00-12:00</w:t>
            </w:r>
          </w:p>
        </w:tc>
        <w:tc>
          <w:tcPr>
            <w:tcW w:w="1701" w:type="dxa"/>
            <w:tcBorders>
              <w:top w:val="single" w:color="9CC2E5" w:sz="4" w:space="0"/>
              <w:left w:val="single" w:color="9CC2E5" w:sz="4" w:space="0"/>
              <w:bottom w:val="single" w:color="9CC2E5" w:sz="4" w:space="0"/>
              <w:right w:val="single" w:color="9CC2E5" w:sz="4" w:space="0"/>
            </w:tcBorders>
            <w:shd w:val="clear" w:color="auto" w:fill="DEEAF6"/>
            <w:vAlign w:val="center"/>
          </w:tcPr>
          <w:p>
            <w:pPr>
              <w:spacing w:line="360" w:lineRule="auto"/>
              <w:rPr>
                <w:rFonts w:hint="eastAsia" w:ascii="仿宋_GB2312" w:hAnsi="仿宋_GB2312" w:eastAsia="仿宋_GB2312" w:cs="仿宋_GB2312"/>
                <w:sz w:val="32"/>
                <w:szCs w:val="32"/>
              </w:rPr>
            </w:pPr>
            <w:r>
              <w:rPr>
                <w:rFonts w:hint="eastAsia" w:ascii="仿宋_GB2312" w:hAnsi="仿宋_GB2312" w:eastAsia="仿宋_GB2312" w:cs="仿宋_GB2312"/>
                <w:kern w:val="0"/>
                <w:sz w:val="32"/>
                <w:szCs w:val="32"/>
              </w:rPr>
              <w:t>会计电算化竞赛</w:t>
            </w:r>
          </w:p>
        </w:tc>
        <w:tc>
          <w:tcPr>
            <w:tcW w:w="2835" w:type="dxa"/>
            <w:tcBorders>
              <w:top w:val="single" w:color="9CC2E5" w:sz="4" w:space="0"/>
              <w:left w:val="single" w:color="9CC2E5" w:sz="4" w:space="0"/>
              <w:bottom w:val="single" w:color="9CC2E5" w:sz="4" w:space="0"/>
              <w:right w:val="single" w:color="9CC2E5" w:sz="4" w:space="0"/>
            </w:tcBorders>
            <w:shd w:val="clear" w:color="auto" w:fill="DEEAF6"/>
            <w:vAlign w:val="center"/>
          </w:tcPr>
          <w:p>
            <w:pPr>
              <w:spacing w:line="360" w:lineRule="auto"/>
              <w:rPr>
                <w:rFonts w:hint="eastAsia" w:ascii="仿宋_GB2312" w:hAnsi="仿宋_GB2312" w:eastAsia="仿宋_GB2312" w:cs="仿宋_GB2312"/>
                <w:sz w:val="32"/>
                <w:szCs w:val="32"/>
              </w:rPr>
            </w:pPr>
            <w:r>
              <w:rPr>
                <w:rFonts w:hint="eastAsia" w:ascii="仿宋_GB2312" w:hAnsi="仿宋_GB2312" w:eastAsia="仿宋_GB2312" w:cs="仿宋_GB2312"/>
                <w:kern w:val="0"/>
                <w:sz w:val="32"/>
                <w:szCs w:val="32"/>
              </w:rPr>
              <w:t>财经商贸学院实训北楼四楼4001室</w:t>
            </w:r>
          </w:p>
          <w:p>
            <w:pPr>
              <w:spacing w:line="360" w:lineRule="auto"/>
              <w:rPr>
                <w:rFonts w:hint="eastAsia" w:ascii="仿宋_GB2312" w:hAnsi="仿宋_GB2312" w:eastAsia="仿宋_GB2312" w:cs="仿宋_GB2312"/>
                <w:sz w:val="32"/>
                <w:szCs w:val="32"/>
              </w:rPr>
            </w:pPr>
          </w:p>
        </w:tc>
        <w:tc>
          <w:tcPr>
            <w:tcW w:w="2653" w:type="dxa"/>
            <w:tcBorders>
              <w:top w:val="single" w:color="9CC2E5" w:sz="4" w:space="0"/>
              <w:left w:val="single" w:color="9CC2E5" w:sz="4" w:space="0"/>
              <w:bottom w:val="single" w:color="9CC2E5" w:sz="4" w:space="0"/>
              <w:right w:val="single" w:color="9CC2E5" w:sz="4" w:space="0"/>
            </w:tcBorders>
            <w:shd w:val="clear" w:color="auto" w:fill="DEEAF6"/>
            <w:vAlign w:val="center"/>
          </w:tcPr>
          <w:p>
            <w:pPr>
              <w:spacing w:line="360" w:lineRule="auto"/>
              <w:rPr>
                <w:rFonts w:hint="eastAsia" w:ascii="仿宋_GB2312" w:hAnsi="仿宋_GB2312" w:eastAsia="仿宋_GB2312" w:cs="仿宋_GB2312"/>
                <w:sz w:val="32"/>
                <w:szCs w:val="32"/>
              </w:rPr>
            </w:pPr>
          </w:p>
        </w:tc>
      </w:tr>
      <w:tr>
        <w:tblPrEx>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CellMar>
            <w:top w:w="0" w:type="dxa"/>
            <w:left w:w="108" w:type="dxa"/>
            <w:bottom w:w="0" w:type="dxa"/>
            <w:right w:w="108" w:type="dxa"/>
          </w:tblCellMar>
        </w:tblPrEx>
        <w:tc>
          <w:tcPr>
            <w:tcW w:w="9736" w:type="dxa"/>
            <w:vMerge w:val="continue"/>
            <w:tcBorders>
              <w:top w:val="nil"/>
              <w:left w:val="single" w:color="9CC2E5" w:sz="4" w:space="0"/>
              <w:bottom w:val="single" w:color="9CC2E5" w:sz="4" w:space="0"/>
              <w:right w:val="single" w:color="9CC2E5" w:sz="4" w:space="0"/>
            </w:tcBorders>
            <w:vAlign w:val="center"/>
          </w:tcPr>
          <w:p>
            <w:pPr>
              <w:widowControl/>
              <w:jc w:val="left"/>
              <w:rPr>
                <w:rFonts w:hint="eastAsia" w:ascii="仿宋_GB2312" w:hAnsi="仿宋_GB2312" w:eastAsia="仿宋_GB2312" w:cs="仿宋_GB2312"/>
                <w:b/>
                <w:bCs/>
                <w:sz w:val="32"/>
                <w:szCs w:val="32"/>
              </w:rPr>
            </w:pPr>
          </w:p>
        </w:tc>
        <w:tc>
          <w:tcPr>
            <w:tcW w:w="1701" w:type="dxa"/>
            <w:tcBorders>
              <w:top w:val="single" w:color="9CC2E5" w:sz="4" w:space="0"/>
              <w:left w:val="single" w:color="9CC2E5" w:sz="4" w:space="0"/>
              <w:bottom w:val="single" w:color="9CC2E5" w:sz="4" w:space="0"/>
              <w:right w:val="single" w:color="9CC2E5" w:sz="4" w:space="0"/>
            </w:tcBorders>
            <w:vAlign w:val="center"/>
          </w:tcPr>
          <w:p>
            <w:pPr>
              <w:spacing w:line="360" w:lineRule="auto"/>
              <w:rPr>
                <w:rFonts w:hint="eastAsia" w:ascii="仿宋_GB2312" w:hAnsi="仿宋_GB2312" w:eastAsia="仿宋_GB2312" w:cs="仿宋_GB2312"/>
                <w:sz w:val="32"/>
                <w:szCs w:val="32"/>
              </w:rPr>
            </w:pPr>
            <w:r>
              <w:rPr>
                <w:rFonts w:hint="eastAsia" w:ascii="仿宋_GB2312" w:hAnsi="仿宋_GB2312" w:eastAsia="仿宋_GB2312" w:cs="仿宋_GB2312"/>
                <w:kern w:val="0"/>
                <w:sz w:val="32"/>
                <w:szCs w:val="32"/>
              </w:rPr>
              <w:t>12:00-13:20</w:t>
            </w:r>
          </w:p>
        </w:tc>
        <w:tc>
          <w:tcPr>
            <w:tcW w:w="1701" w:type="dxa"/>
            <w:tcBorders>
              <w:top w:val="single" w:color="9CC2E5" w:sz="4" w:space="0"/>
              <w:left w:val="single" w:color="9CC2E5" w:sz="4" w:space="0"/>
              <w:bottom w:val="single" w:color="9CC2E5" w:sz="4" w:space="0"/>
              <w:right w:val="single" w:color="9CC2E5" w:sz="4" w:space="0"/>
            </w:tcBorders>
            <w:vAlign w:val="center"/>
          </w:tcPr>
          <w:p>
            <w:pPr>
              <w:spacing w:line="360" w:lineRule="auto"/>
              <w:rPr>
                <w:rFonts w:hint="eastAsia" w:ascii="仿宋_GB2312" w:hAnsi="仿宋_GB2312" w:eastAsia="仿宋_GB2312" w:cs="仿宋_GB2312"/>
                <w:sz w:val="32"/>
                <w:szCs w:val="32"/>
              </w:rPr>
            </w:pPr>
            <w:r>
              <w:rPr>
                <w:rFonts w:hint="eastAsia" w:ascii="仿宋_GB2312" w:hAnsi="仿宋_GB2312" w:eastAsia="仿宋_GB2312" w:cs="仿宋_GB2312"/>
                <w:kern w:val="0"/>
                <w:sz w:val="32"/>
                <w:szCs w:val="32"/>
              </w:rPr>
              <w:t>选手午餐</w:t>
            </w:r>
          </w:p>
        </w:tc>
        <w:tc>
          <w:tcPr>
            <w:tcW w:w="2835" w:type="dxa"/>
            <w:tcBorders>
              <w:top w:val="single" w:color="9CC2E5" w:sz="4" w:space="0"/>
              <w:left w:val="single" w:color="9CC2E5" w:sz="4" w:space="0"/>
              <w:bottom w:val="single" w:color="9CC2E5" w:sz="4" w:space="0"/>
              <w:right w:val="single" w:color="9CC2E5" w:sz="4" w:space="0"/>
            </w:tcBorders>
            <w:vAlign w:val="center"/>
          </w:tcPr>
          <w:p>
            <w:pPr>
              <w:spacing w:line="360" w:lineRule="auto"/>
              <w:rPr>
                <w:rFonts w:hint="eastAsia" w:ascii="仿宋_GB2312" w:hAnsi="仿宋_GB2312" w:eastAsia="仿宋_GB2312" w:cs="仿宋_GB2312"/>
                <w:sz w:val="32"/>
                <w:szCs w:val="32"/>
              </w:rPr>
            </w:pPr>
            <w:r>
              <w:rPr>
                <w:rFonts w:hint="eastAsia" w:ascii="仿宋_GB2312" w:hAnsi="仿宋_GB2312" w:eastAsia="仿宋_GB2312" w:cs="仿宋_GB2312"/>
                <w:kern w:val="0"/>
                <w:sz w:val="32"/>
                <w:szCs w:val="32"/>
              </w:rPr>
              <w:t>财经商贸学院食堂</w:t>
            </w:r>
          </w:p>
        </w:tc>
        <w:tc>
          <w:tcPr>
            <w:tcW w:w="2653" w:type="dxa"/>
            <w:tcBorders>
              <w:top w:val="single" w:color="9CC2E5" w:sz="4" w:space="0"/>
              <w:left w:val="single" w:color="9CC2E5" w:sz="4" w:space="0"/>
              <w:bottom w:val="single" w:color="9CC2E5" w:sz="4" w:space="0"/>
              <w:right w:val="single" w:color="9CC2E5" w:sz="4" w:space="0"/>
            </w:tcBorders>
            <w:vAlign w:val="center"/>
          </w:tcPr>
          <w:p>
            <w:pPr>
              <w:spacing w:line="360" w:lineRule="auto"/>
              <w:rPr>
                <w:rFonts w:hint="eastAsia" w:ascii="仿宋_GB2312" w:hAnsi="仿宋_GB2312" w:eastAsia="仿宋_GB2312" w:cs="仿宋_GB2312"/>
                <w:sz w:val="32"/>
                <w:szCs w:val="32"/>
              </w:rPr>
            </w:pPr>
            <w:r>
              <w:rPr>
                <w:rFonts w:hint="eastAsia" w:ascii="仿宋_GB2312" w:hAnsi="仿宋_GB2312" w:eastAsia="仿宋_GB2312" w:cs="仿宋_GB2312"/>
                <w:kern w:val="0"/>
                <w:sz w:val="32"/>
                <w:szCs w:val="32"/>
              </w:rPr>
              <w:t>清真餐可到卫生学院食堂</w:t>
            </w:r>
          </w:p>
        </w:tc>
      </w:tr>
      <w:tr>
        <w:tblPrEx>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CellMar>
            <w:top w:w="0" w:type="dxa"/>
            <w:left w:w="108" w:type="dxa"/>
            <w:bottom w:w="0" w:type="dxa"/>
            <w:right w:w="108" w:type="dxa"/>
          </w:tblCellMar>
        </w:tblPrEx>
        <w:tc>
          <w:tcPr>
            <w:tcW w:w="9736" w:type="dxa"/>
            <w:vMerge w:val="continue"/>
            <w:tcBorders>
              <w:top w:val="nil"/>
              <w:left w:val="single" w:color="9CC2E5" w:sz="4" w:space="0"/>
              <w:bottom w:val="single" w:color="9CC2E5" w:sz="4" w:space="0"/>
              <w:right w:val="single" w:color="9CC2E5" w:sz="4" w:space="0"/>
            </w:tcBorders>
            <w:vAlign w:val="center"/>
          </w:tcPr>
          <w:p>
            <w:pPr>
              <w:widowControl/>
              <w:jc w:val="left"/>
              <w:rPr>
                <w:rFonts w:hint="eastAsia" w:ascii="仿宋_GB2312" w:hAnsi="仿宋_GB2312" w:eastAsia="仿宋_GB2312" w:cs="仿宋_GB2312"/>
                <w:b/>
                <w:bCs/>
                <w:sz w:val="32"/>
                <w:szCs w:val="32"/>
              </w:rPr>
            </w:pPr>
          </w:p>
        </w:tc>
        <w:tc>
          <w:tcPr>
            <w:tcW w:w="1701" w:type="dxa"/>
            <w:tcBorders>
              <w:top w:val="single" w:color="9CC2E5" w:sz="4" w:space="0"/>
              <w:left w:val="single" w:color="9CC2E5" w:sz="4" w:space="0"/>
              <w:bottom w:val="single" w:color="9CC2E5" w:sz="4" w:space="0"/>
              <w:right w:val="single" w:color="9CC2E5" w:sz="4" w:space="0"/>
            </w:tcBorders>
            <w:shd w:val="clear" w:color="auto" w:fill="DEEAF6"/>
            <w:vAlign w:val="center"/>
          </w:tcPr>
          <w:p>
            <w:pPr>
              <w:spacing w:line="360" w:lineRule="auto"/>
              <w:rPr>
                <w:rFonts w:hint="eastAsia" w:ascii="仿宋_GB2312" w:hAnsi="仿宋_GB2312" w:eastAsia="仿宋_GB2312" w:cs="仿宋_GB2312"/>
                <w:sz w:val="32"/>
                <w:szCs w:val="32"/>
              </w:rPr>
            </w:pPr>
            <w:r>
              <w:rPr>
                <w:rFonts w:hint="eastAsia" w:ascii="仿宋_GB2312" w:hAnsi="仿宋_GB2312" w:eastAsia="仿宋_GB2312" w:cs="仿宋_GB2312"/>
                <w:kern w:val="0"/>
                <w:sz w:val="32"/>
                <w:szCs w:val="32"/>
              </w:rPr>
              <w:t>15:30-23:30</w:t>
            </w:r>
          </w:p>
        </w:tc>
        <w:tc>
          <w:tcPr>
            <w:tcW w:w="1701" w:type="dxa"/>
            <w:tcBorders>
              <w:top w:val="single" w:color="9CC2E5" w:sz="4" w:space="0"/>
              <w:left w:val="single" w:color="9CC2E5" w:sz="4" w:space="0"/>
              <w:bottom w:val="single" w:color="9CC2E5" w:sz="4" w:space="0"/>
              <w:right w:val="single" w:color="9CC2E5" w:sz="4" w:space="0"/>
            </w:tcBorders>
            <w:shd w:val="clear" w:color="auto" w:fill="DEEAF6"/>
            <w:vAlign w:val="center"/>
          </w:tcPr>
          <w:p>
            <w:pPr>
              <w:spacing w:line="360" w:lineRule="auto"/>
              <w:rPr>
                <w:rFonts w:hint="eastAsia" w:ascii="仿宋_GB2312" w:hAnsi="仿宋_GB2312" w:eastAsia="仿宋_GB2312" w:cs="仿宋_GB2312"/>
                <w:sz w:val="32"/>
                <w:szCs w:val="32"/>
              </w:rPr>
            </w:pPr>
            <w:r>
              <w:rPr>
                <w:rFonts w:hint="eastAsia" w:ascii="仿宋_GB2312" w:hAnsi="仿宋_GB2312" w:eastAsia="仿宋_GB2312" w:cs="仿宋_GB2312"/>
                <w:kern w:val="0"/>
                <w:sz w:val="32"/>
                <w:szCs w:val="32"/>
              </w:rPr>
              <w:t>成绩评判及公示</w:t>
            </w:r>
          </w:p>
        </w:tc>
        <w:tc>
          <w:tcPr>
            <w:tcW w:w="2835" w:type="dxa"/>
            <w:tcBorders>
              <w:top w:val="single" w:color="9CC2E5" w:sz="4" w:space="0"/>
              <w:left w:val="single" w:color="9CC2E5" w:sz="4" w:space="0"/>
              <w:bottom w:val="single" w:color="9CC2E5" w:sz="4" w:space="0"/>
              <w:right w:val="single" w:color="9CC2E5" w:sz="4" w:space="0"/>
            </w:tcBorders>
            <w:shd w:val="clear" w:color="auto" w:fill="DEEAF6"/>
            <w:vAlign w:val="center"/>
          </w:tcPr>
          <w:p>
            <w:pPr>
              <w:spacing w:line="360" w:lineRule="auto"/>
              <w:rPr>
                <w:rFonts w:hint="eastAsia" w:ascii="仿宋_GB2312" w:hAnsi="仿宋_GB2312" w:eastAsia="仿宋_GB2312" w:cs="仿宋_GB2312"/>
                <w:sz w:val="32"/>
                <w:szCs w:val="32"/>
              </w:rPr>
            </w:pPr>
            <w:r>
              <w:rPr>
                <w:rFonts w:hint="eastAsia" w:ascii="仿宋_GB2312" w:hAnsi="仿宋_GB2312" w:eastAsia="仿宋_GB2312" w:cs="仿宋_GB2312"/>
                <w:kern w:val="0"/>
                <w:sz w:val="32"/>
                <w:szCs w:val="32"/>
              </w:rPr>
              <w:t>财经商贸学院教学北楼一楼1001室门口</w:t>
            </w:r>
          </w:p>
        </w:tc>
        <w:tc>
          <w:tcPr>
            <w:tcW w:w="2653" w:type="dxa"/>
            <w:tcBorders>
              <w:top w:val="single" w:color="9CC2E5" w:sz="4" w:space="0"/>
              <w:left w:val="single" w:color="9CC2E5" w:sz="4" w:space="0"/>
              <w:bottom w:val="single" w:color="9CC2E5" w:sz="4" w:space="0"/>
              <w:right w:val="single" w:color="9CC2E5" w:sz="4" w:space="0"/>
            </w:tcBorders>
            <w:shd w:val="clear" w:color="auto" w:fill="DEEAF6"/>
            <w:vAlign w:val="center"/>
          </w:tcPr>
          <w:p>
            <w:pPr>
              <w:spacing w:line="360" w:lineRule="auto"/>
              <w:rPr>
                <w:rFonts w:hint="eastAsia" w:ascii="仿宋_GB2312" w:hAnsi="仿宋_GB2312" w:eastAsia="仿宋_GB2312" w:cs="仿宋_GB2312"/>
                <w:sz w:val="32"/>
                <w:szCs w:val="32"/>
              </w:rPr>
            </w:pPr>
          </w:p>
        </w:tc>
      </w:tr>
      <w:tr>
        <w:tblPrEx>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CellMar>
            <w:top w:w="0" w:type="dxa"/>
            <w:left w:w="108" w:type="dxa"/>
            <w:bottom w:w="0" w:type="dxa"/>
            <w:right w:w="108" w:type="dxa"/>
          </w:tblCellMar>
        </w:tblPrEx>
        <w:tc>
          <w:tcPr>
            <w:tcW w:w="9736" w:type="dxa"/>
            <w:gridSpan w:val="5"/>
            <w:tcBorders>
              <w:top w:val="single" w:color="9CC2E5" w:sz="4" w:space="0"/>
              <w:left w:val="single" w:color="9CC2E5" w:sz="4" w:space="0"/>
              <w:bottom w:val="single" w:color="9CC2E5" w:sz="4" w:space="0"/>
              <w:right w:val="single" w:color="9CC2E5" w:sz="4" w:space="0"/>
            </w:tcBorders>
            <w:vAlign w:val="center"/>
          </w:tcPr>
          <w:p>
            <w:pPr>
              <w:spacing w:line="360" w:lineRule="auto"/>
              <w:rPr>
                <w:rFonts w:hint="eastAsia" w:ascii="仿宋_GB2312" w:hAnsi="仿宋_GB2312" w:eastAsia="仿宋_GB2312" w:cs="仿宋_GB2312"/>
                <w:b/>
                <w:bCs/>
                <w:sz w:val="32"/>
                <w:szCs w:val="32"/>
              </w:rPr>
            </w:pPr>
            <w:r>
              <w:rPr>
                <w:rFonts w:hint="eastAsia" w:ascii="仿宋_GB2312" w:hAnsi="仿宋_GB2312" w:eastAsia="仿宋_GB2312" w:cs="仿宋_GB2312"/>
                <w:b/>
                <w:bCs/>
                <w:kern w:val="0"/>
                <w:sz w:val="32"/>
                <w:szCs w:val="32"/>
              </w:rPr>
              <w:t>赛点联系人：周卫红13679481132 彭莉 18919062795    QQ： 1423682438     249880924</w:t>
            </w:r>
          </w:p>
        </w:tc>
      </w:tr>
    </w:tbl>
    <w:p>
      <w:pPr>
        <w:rPr>
          <w:rFonts w:hint="eastAsia" w:ascii="仿宋_GB2312" w:hAnsi="仿宋_GB2312" w:eastAsia="仿宋_GB2312" w:cs="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F6A2A662-A731-4EB4-9BD8-D2F89D5BD076}"/>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00000000000000000"/>
    <w:charset w:val="86"/>
    <w:family w:val="auto"/>
    <w:pitch w:val="default"/>
    <w:sig w:usb0="00000001" w:usb1="080E0000" w:usb2="00000000" w:usb3="00000000" w:csb0="00040000" w:csb1="00000000"/>
    <w:embedRegular r:id="rId2" w:fontKey="{8F8774AF-515C-4DEA-B258-D9ECDCEC6F44}"/>
  </w:font>
  <w:font w:name="仿宋_GB2312">
    <w:panose1 w:val="02010609030101010101"/>
    <w:charset w:val="86"/>
    <w:family w:val="modern"/>
    <w:pitch w:val="default"/>
    <w:sig w:usb0="00000001" w:usb1="080E0000" w:usb2="00000000" w:usb3="00000000" w:csb0="00040000" w:csb1="00000000"/>
    <w:embedRegular r:id="rId3" w:fontKey="{5380E463-F574-4BA0-9DDC-F5B61AE8EA66}"/>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VmODhhMjg2YWFiZDVjMDc3M2Y4ZmVlMzBjOTEwYmUifQ=="/>
    <w:docVar w:name="KSO_WPS_MARK_KEY" w:val="14e56366-39df-4c8f-9b9c-aa16f61ecc25"/>
  </w:docVars>
  <w:rsids>
    <w:rsidRoot w:val="00074756"/>
    <w:rsid w:val="00074756"/>
    <w:rsid w:val="001D6286"/>
    <w:rsid w:val="00296BF8"/>
    <w:rsid w:val="00B80651"/>
    <w:rsid w:val="00D2116E"/>
    <w:rsid w:val="00DF322F"/>
    <w:rsid w:val="423F26E5"/>
    <w:rsid w:val="5D3D6B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1"/>
      <w:lang w:val="en-US" w:eastAsia="zh-CN" w:bidi="ar-SA"/>
    </w:rPr>
  </w:style>
  <w:style w:type="character" w:default="1" w:styleId="4">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Normal Indent"/>
    <w:basedOn w:val="1"/>
    <w:semiHidden/>
    <w:unhideWhenUsed/>
    <w:qFormat/>
    <w:uiPriority w:val="99"/>
    <w:pPr>
      <w:ind w:firstLine="420"/>
    </w:pPr>
  </w:style>
  <w:style w:type="table" w:customStyle="1" w:styleId="5">
    <w:name w:val="Grid Table 4 Accent 1"/>
    <w:basedOn w:val="3"/>
    <w:qFormat/>
    <w:uiPriority w:val="0"/>
    <w:rPr>
      <w:rFonts w:ascii="Times New Roman" w:hAnsi="Times New Roman" w:eastAsia="Times New Roman"/>
    </w:rPr>
    <w:tblPr>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Sky123.Org</Company>
  <Pages>7</Pages>
  <Words>2275</Words>
  <Characters>2505</Characters>
  <Lines>19</Lines>
  <Paragraphs>5</Paragraphs>
  <TotalTime>0</TotalTime>
  <ScaleCrop>false</ScaleCrop>
  <LinksUpToDate>false</LinksUpToDate>
  <CharactersWithSpaces>2542</CharactersWithSpaces>
  <Application>WPS Office_11.1.0.12165_F1E327BC-269C-435d-A152-05C5408002CA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2024-11-07T07:41:00Z</dcterms:created>
  <dc:creator>Administrator</dc:creator>
  <cp:lastModifiedBy>王不留行。</cp:lastModifiedBy>
  <dcterms:modified xsi:type="dcterms:W3CDTF">2024-11-08T02:35:08Z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2052-11.1.0.12165</vt:lpwstr>
  </property>
  <property fmtid="{D5CDD505-2E9C-101B-9397-08002B2CF9AE}" pid="3" name="ICV">
    <vt:lpwstr>6551B7C1EC4241C4BD35DE8B45BF0227</vt:lpwstr>
  </property>
</Properties>
</file>