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Arial Narrow" w:hAnsi="黑体" w:eastAsia="黑体" w:cs="宋体"/>
          <w:b/>
          <w:color w:val="auto"/>
          <w:sz w:val="36"/>
          <w:szCs w:val="36"/>
        </w:rPr>
      </w:pPr>
    </w:p>
    <w:p>
      <w:pPr>
        <w:snapToGrid w:val="0"/>
        <w:spacing w:line="540" w:lineRule="exact"/>
        <w:jc w:val="center"/>
        <w:rPr>
          <w:rFonts w:hint="eastAsia" w:ascii="方正小标宋简体" w:hAnsi="方正小标宋简体" w:eastAsia="方正小标宋简体" w:cs="方正小标宋简体"/>
          <w:b/>
          <w:bCs w:val="0"/>
          <w:kern w:val="2"/>
          <w:sz w:val="40"/>
          <w:szCs w:val="40"/>
          <w:lang w:val="en-US" w:eastAsia="zh-CN" w:bidi="ar"/>
        </w:rPr>
      </w:pPr>
      <w:r>
        <w:rPr>
          <w:rFonts w:hint="eastAsia" w:ascii="方正小标宋简体" w:hAnsi="方正小标宋简体" w:eastAsia="方正小标宋简体" w:cs="方正小标宋简体"/>
          <w:b/>
          <w:bCs w:val="0"/>
          <w:kern w:val="2"/>
          <w:sz w:val="40"/>
          <w:szCs w:val="40"/>
          <w:lang w:val="en-US" w:eastAsia="zh-CN" w:bidi="ar"/>
        </w:rPr>
        <w:t>2025年兰州市中等职业学校技能大赛</w:t>
      </w:r>
    </w:p>
    <w:p>
      <w:pPr>
        <w:snapToGrid w:val="0"/>
        <w:spacing w:line="540" w:lineRule="exact"/>
        <w:jc w:val="center"/>
        <w:rPr>
          <w:rFonts w:hint="eastAsia" w:ascii="方正小标宋简体" w:hAnsi="方正小标宋简体" w:eastAsia="方正小标宋简体" w:cs="方正小标宋简体"/>
          <w:b/>
          <w:color w:val="auto"/>
          <w:sz w:val="40"/>
          <w:szCs w:val="40"/>
        </w:rPr>
      </w:pPr>
      <w:r>
        <w:rPr>
          <w:rFonts w:hint="eastAsia" w:ascii="方正小标宋简体" w:hAnsi="方正小标宋简体" w:eastAsia="方正小标宋简体" w:cs="方正小标宋简体"/>
          <w:b/>
          <w:bCs w:val="0"/>
          <w:kern w:val="2"/>
          <w:sz w:val="40"/>
          <w:szCs w:val="40"/>
          <w:lang w:val="en-US" w:eastAsia="zh-CN" w:bidi="ar"/>
        </w:rPr>
        <w:t>赛项规程</w:t>
      </w:r>
    </w:p>
    <w:p>
      <w:pPr>
        <w:snapToGrid w:val="0"/>
        <w:spacing w:line="540" w:lineRule="exact"/>
        <w:jc w:val="center"/>
        <w:rPr>
          <w:rFonts w:ascii="Arial Narrow" w:hAnsi="黑体" w:eastAsia="黑体" w:cs="宋体"/>
          <w:b/>
          <w:color w:val="auto"/>
          <w:sz w:val="36"/>
          <w:szCs w:val="36"/>
        </w:rPr>
      </w:pPr>
    </w:p>
    <w:p>
      <w:pPr>
        <w:pStyle w:val="2"/>
        <w:spacing w:before="156" w:beforeLines="50" w:after="156" w:afterLines="50" w:line="360" w:lineRule="auto"/>
        <w:rPr>
          <w:rFonts w:hint="eastAsia" w:ascii="黑体" w:hAnsi="黑体" w:eastAsia="黑体" w:cs="黑体"/>
          <w:color w:val="auto"/>
          <w:sz w:val="32"/>
          <w:szCs w:val="32"/>
        </w:rPr>
      </w:pPr>
      <w:bookmarkStart w:id="0" w:name="_Toc382406748"/>
      <w:r>
        <w:rPr>
          <w:rFonts w:hint="eastAsia" w:ascii="黑体" w:hAnsi="黑体" w:eastAsia="黑体" w:cs="黑体"/>
          <w:color w:val="auto"/>
          <w:sz w:val="32"/>
          <w:szCs w:val="32"/>
        </w:rPr>
        <w:t>一、赛项名称</w:t>
      </w:r>
      <w:bookmarkEnd w:id="0"/>
    </w:p>
    <w:p>
      <w:pPr>
        <w:spacing w:line="360" w:lineRule="auto"/>
        <w:ind w:firstLine="640" w:firstLineChars="200"/>
        <w:rPr>
          <w:rFonts w:ascii="Arial Narrow" w:hAnsi="Arial Narrow" w:eastAsia="仿宋_GB2312" w:cs="宋体"/>
          <w:color w:val="auto"/>
          <w:sz w:val="32"/>
          <w:szCs w:val="32"/>
          <w:u w:val="single"/>
        </w:rPr>
      </w:pPr>
      <w:r>
        <w:rPr>
          <w:rFonts w:hint="eastAsia" w:ascii="Arial Narrow" w:hAnsi="Arial Narrow" w:eastAsia="仿宋_GB2312" w:cs="宋体"/>
          <w:color w:val="auto"/>
          <w:sz w:val="32"/>
          <w:szCs w:val="32"/>
        </w:rPr>
        <w:t>赛项名称：</w:t>
      </w:r>
      <w:r>
        <w:rPr>
          <w:rFonts w:hint="eastAsia" w:ascii="仿宋_GB2312" w:hAnsi="等线" w:eastAsia="仿宋_GB2312"/>
          <w:color w:val="auto"/>
          <w:sz w:val="32"/>
          <w:szCs w:val="32"/>
        </w:rPr>
        <w:t>智能财税技能</w:t>
      </w:r>
    </w:p>
    <w:p>
      <w:pPr>
        <w:spacing w:line="360" w:lineRule="auto"/>
        <w:ind w:firstLine="640" w:firstLineChars="200"/>
        <w:rPr>
          <w:rFonts w:ascii="Arial Narrow" w:hAnsi="Arial Narrow" w:eastAsia="仿宋_GB2312" w:cs="宋体"/>
          <w:color w:val="auto"/>
          <w:sz w:val="32"/>
          <w:szCs w:val="32"/>
          <w:u w:val="single"/>
        </w:rPr>
      </w:pPr>
      <w:r>
        <w:rPr>
          <w:rFonts w:hint="eastAsia" w:ascii="Arial Narrow" w:hAnsi="Arial Narrow" w:eastAsia="仿宋_GB2312" w:cs="宋体"/>
          <w:color w:val="auto"/>
          <w:sz w:val="32"/>
          <w:szCs w:val="32"/>
        </w:rPr>
        <w:t>英文名称：</w:t>
      </w:r>
      <w:r>
        <w:rPr>
          <w:rFonts w:hint="eastAsia" w:ascii="仿宋_GB2312" w:hAnsi="仿宋" w:eastAsia="仿宋_GB2312" w:cs="仿宋_GB2312"/>
          <w:color w:val="auto"/>
          <w:sz w:val="32"/>
          <w:szCs w:val="32"/>
        </w:rPr>
        <w:t>IntelligenceFinanceandTaxationSkills</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赛项组别：</w:t>
      </w:r>
      <w:r>
        <w:rPr>
          <w:rFonts w:hint="eastAsia" w:ascii="仿宋_GB2312" w:hAnsi="等线" w:eastAsia="仿宋_GB2312"/>
          <w:color w:val="auto"/>
          <w:sz w:val="32"/>
          <w:szCs w:val="32"/>
        </w:rPr>
        <w:t>中职</w:t>
      </w:r>
    </w:p>
    <w:p>
      <w:pPr>
        <w:spacing w:line="360" w:lineRule="auto"/>
        <w:ind w:firstLine="640" w:firstLineChars="200"/>
        <w:rPr>
          <w:rFonts w:ascii="Arial Narrow" w:hAnsi="Arial Narrow" w:eastAsia="仿宋_GB2312" w:cs="宋体"/>
          <w:color w:val="auto"/>
          <w:sz w:val="32"/>
          <w:szCs w:val="32"/>
          <w:u w:val="single"/>
        </w:rPr>
      </w:pPr>
      <w:r>
        <w:rPr>
          <w:rFonts w:hint="eastAsia" w:ascii="Arial Narrow" w:hAnsi="Arial Narrow" w:eastAsia="仿宋_GB2312" w:cs="宋体"/>
          <w:color w:val="auto"/>
          <w:sz w:val="32"/>
          <w:szCs w:val="32"/>
        </w:rPr>
        <w:t>赛项归属产业：</w:t>
      </w:r>
      <w:r>
        <w:rPr>
          <w:rFonts w:hint="eastAsia" w:ascii="仿宋_GB2312" w:hAnsi="等线" w:eastAsia="仿宋_GB2312"/>
          <w:color w:val="auto"/>
          <w:sz w:val="32"/>
          <w:szCs w:val="32"/>
        </w:rPr>
        <w:t>财经商贸大类</w:t>
      </w:r>
    </w:p>
    <w:p>
      <w:pPr>
        <w:pStyle w:val="2"/>
        <w:spacing w:before="156" w:beforeLines="50" w:after="156" w:afterLines="50" w:line="360" w:lineRule="auto"/>
        <w:rPr>
          <w:rFonts w:hint="eastAsia" w:ascii="黑体" w:hAnsi="黑体" w:eastAsia="黑体" w:cs="黑体"/>
          <w:color w:val="auto"/>
          <w:sz w:val="32"/>
          <w:szCs w:val="32"/>
        </w:rPr>
      </w:pPr>
      <w:bookmarkStart w:id="1" w:name="_Toc382406749"/>
      <w:r>
        <w:rPr>
          <w:rFonts w:hint="eastAsia" w:ascii="黑体" w:hAnsi="黑体" w:eastAsia="黑体" w:cs="黑体"/>
          <w:color w:val="auto"/>
          <w:sz w:val="32"/>
          <w:szCs w:val="32"/>
        </w:rPr>
        <w:t>二、竞赛目的</w:t>
      </w:r>
      <w:bookmarkEnd w:id="1"/>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智能财税培训围绕新经济、新技术、新职业、新专业，聚焦财税改革发展新方向，采用数字经济与共享经济背景下财税共享服务新业态和现代企业“业票财税”一体化新模式，促进职业教育新专业目录中财政税务类和财务会计类专业创新发展，发挥职业院校技能大赛对职业教育“树旗、导航、定标、催化”作用，实现“以赛促教、以赛促学、以赛促建、以赛促改”，培养学生在新技术新业态环境下的财税事务服务能力、财税职业判断能力、财税业务核算能力。</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三、竞赛内容</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基于智能财税共享云平台，采用大数据、机器学习与RPA机器人流程自动化、电子发票、新一代ERP等技术，面向社会财税共享服务机构和企业财税共享中心，完成智能财税—财务共享等工作领域的典型任务。</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（一）智能财税—财务共享</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1.业务处理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（1）采购与销售业务处理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一般采购与付款业务处理。根据采购订单生成并审核采购发票，生成并审核采购入库单及验收单，生成并审核付款单，发起采购结算，生成并审核付款核销单。</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一般销售与收款业务处理。根据销售订单生成并审核销售出库单，开具增值税发票，生成并审核收款单，生成并审核收款核销单。</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（2）商旅与费控业务处理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根据企业内部制度要求进行差旅费标准设置，其中包括地区级别、交通工具、补贴标准、报销标准等。</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依据企业的实际业务需求，进行预定机票、酒店等商旅服务及费用控制。</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根据企业报销制度和业务流程，处理员工报销业务，包括借款、还款、报销冲借款等。</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2.票据处理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（1）单据采集：对不同业务的进销项发票、费用类单据、银行回单等单据的电子影像进行采集。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2）单据识别与查验：使用票据管理系统对单据电子影像进行OCR识别，完成增值税发票真伪查验；根据系统进行的初步分类，对自动分类有误的进项发票、销项发票、费用类单据、银行回单等单据进行分类调整；对每张单据进行核查，确认识别的正确性。</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（3）单据审核：对采购类、销售类、费用类、银行类等单据的合规性、合理性、合法性进行审核；对发票要素的正确性进行审核。</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3.会计核算</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（1）通过票据管理系统开具的销售发票自动生成记账凭证。</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（2）在会计核算系统中，利用人工智能或记账通用规则（业务类型），对通过审核的单张单据自动匹配业务类型并自动生成记账凭证，并将该笔业务已采集的相关票据影像添加至凭证中。</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（3）在会计核算系统中，对票据进行业务类型匹配，并采用批量制单自动生成记账凭证。</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w:t>
      </w:r>
      <w:r>
        <w:rPr>
          <w:rFonts w:hint="eastAsia" w:ascii="Arial Narrow" w:hAnsi="Arial Narrow" w:eastAsia="仿宋_GB2312" w:cs="宋体"/>
          <w:color w:val="auto"/>
          <w:sz w:val="32"/>
          <w:szCs w:val="32"/>
          <w:lang w:val="en-US" w:eastAsia="zh-CN"/>
        </w:rPr>
        <w:t>4</w:t>
      </w:r>
      <w:r>
        <w:rPr>
          <w:rFonts w:hint="eastAsia" w:ascii="Arial Narrow" w:hAnsi="Arial Narrow" w:eastAsia="仿宋_GB2312" w:cs="宋体"/>
          <w:color w:val="auto"/>
          <w:sz w:val="32"/>
          <w:szCs w:val="32"/>
        </w:rPr>
        <w:t>）对会计核算系统自动匹配生成的记账凭证进行检查，如有错误进行手工调整匹配正确业务类型并生成记账凭证，并将已采集的相关票据影像添加至凭证中。</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4.薪税业务处理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（1）工资核算模块基础设置：包括公司员工信息、计提工资借方科目、五险一金借方科目及五险一金缴费比例设置等。</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（2）在会计核算系统进行人员工资信息导入操作，对职工薪酬、社保与公积金、个税进行核算。</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（3）运用工资模块进行个人所得税专项扣除与专项附加扣除的检查与修改，进行个人所得税申报的检查与修改。</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（4）运用会计核算系统生成计提工资、社保及公积金、代扣个税等记账凭证。</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5.固定资产业务处理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（1）资产管理模块基础设置：包括部门费用科目设置等。</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（2）运用会计核算系统，完成固定资产卡片的增、删、改等操作，完成自动生成记账凭证操作。按期间按类别计提资产折旧并生成记账凭证。</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6.期末会计事项处理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（1）审核记账凭证、总账、明细账、辅助账、科目余额表等。</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（2）月末结转：结转销售成本、损益结转、结转本年利润等。</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7.报表编制业务处理</w:t>
      </w:r>
    </w:p>
    <w:p>
      <w:pPr>
        <w:numPr>
          <w:ilvl w:val="0"/>
          <w:numId w:val="1"/>
        </w:num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财务报表编制：生成资产负债表、利润表、现金流量表并审核。</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（2）内部报表编制：根据账务数据和报表数据进行内部报表编制。</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四、竞赛方式</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竞赛以团体赛方式进行，每个参赛队4名选手，设领队（1名，参赛院校中层以上管理人员担任）和专业指导教师（不超过2名，本校专兼职教师），符合条件的指导教师可兼任领队。</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第一赛段：智能财税—财务共享竞赛。团队竞赛，设4个岗位：票据处理岗、业务财务岗、会计核算岗、财务主管岗，岗位分工于报名时由各参赛学校自行确定，参赛时不得调整。竞赛现场按团队设置竞赛台位，按岗位标注选手座位，竞赛台位在赛前通过抽签决定。</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第一赛段时长180分钟，在</w:t>
      </w:r>
      <w:r>
        <w:rPr>
          <w:rFonts w:hint="eastAsia" w:ascii="Arial Narrow" w:hAnsi="Arial Narrow" w:eastAsia="仿宋_GB2312" w:cs="宋体"/>
          <w:color w:val="auto"/>
          <w:sz w:val="32"/>
          <w:szCs w:val="32"/>
          <w:lang w:val="en-US" w:eastAsia="zh-CN"/>
        </w:rPr>
        <w:t>半天</w:t>
      </w:r>
      <w:r>
        <w:rPr>
          <w:rFonts w:hint="eastAsia" w:ascii="Arial Narrow" w:hAnsi="Arial Narrow" w:eastAsia="仿宋_GB2312" w:cs="宋体"/>
          <w:color w:val="auto"/>
          <w:sz w:val="32"/>
          <w:szCs w:val="32"/>
        </w:rPr>
        <w:t>内完成。</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五、竞赛流程</w:t>
      </w:r>
    </w:p>
    <w:p>
      <w:pPr>
        <w:spacing w:before="91" w:line="184" w:lineRule="auto"/>
        <w:ind w:firstLine="709"/>
        <w:rPr>
          <w:rFonts w:ascii="仿宋" w:hAnsi="仿宋" w:eastAsia="仿宋" w:cs="仿宋"/>
          <w:color w:val="auto"/>
          <w:sz w:val="28"/>
          <w:szCs w:val="28"/>
        </w:rPr>
      </w:pPr>
      <w:r>
        <w:rPr>
          <w:rFonts w:ascii="仿宋" w:hAnsi="仿宋" w:eastAsia="仿宋" w:cs="仿宋"/>
          <w:color w:val="auto"/>
          <w:spacing w:val="-7"/>
          <w:sz w:val="28"/>
          <w:szCs w:val="28"/>
        </w:rPr>
        <w:t>表1竞赛时间安排</w:t>
      </w:r>
    </w:p>
    <w:p>
      <w:pPr>
        <w:spacing w:line="64" w:lineRule="exact"/>
        <w:rPr>
          <w:color w:val="auto"/>
        </w:rPr>
      </w:pPr>
    </w:p>
    <w:tbl>
      <w:tblPr>
        <w:tblStyle w:val="7"/>
        <w:tblW w:w="829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4"/>
        <w:gridCol w:w="1881"/>
        <w:gridCol w:w="3547"/>
        <w:gridCol w:w="18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054" w:type="dxa"/>
            <w:tcBorders>
              <w:top w:val="single" w:color="auto" w:sz="4" w:space="0"/>
              <w:left w:val="single" w:color="auto" w:sz="4" w:space="0"/>
            </w:tcBorders>
            <w:vAlign w:val="center"/>
          </w:tcPr>
          <w:p>
            <w:pPr>
              <w:spacing w:before="43" w:line="184" w:lineRule="auto"/>
              <w:ind w:firstLine="317"/>
              <w:rPr>
                <w:rFonts w:ascii="仿宋" w:hAnsi="仿宋" w:eastAsia="仿宋" w:cs="仿宋"/>
                <w:color w:val="auto"/>
                <w:sz w:val="24"/>
                <w:szCs w:val="24"/>
              </w:rPr>
            </w:pPr>
            <w:r>
              <w:rPr>
                <w:rFonts w:ascii="仿宋" w:hAnsi="仿宋" w:eastAsia="仿宋" w:cs="仿宋"/>
                <w:color w:val="auto"/>
                <w:spacing w:val="-16"/>
                <w:sz w:val="24"/>
                <w:szCs w:val="24"/>
                <w14:textOutline w14:w="4356" w14:cap="sq" w14:cmpd="sng" w14:algn="ctr">
                  <w14:solidFill>
                    <w14:srgbClr w14:val="0D0D0D"/>
                  </w14:solidFill>
                  <w14:prstDash w14:val="solid"/>
                  <w14:bevel/>
                </w14:textOutline>
              </w:rPr>
              <w:t>时间</w:t>
            </w:r>
          </w:p>
        </w:tc>
        <w:tc>
          <w:tcPr>
            <w:tcW w:w="1881" w:type="dxa"/>
            <w:tcBorders>
              <w:top w:val="single" w:color="auto" w:sz="4" w:space="0"/>
            </w:tcBorders>
            <w:vAlign w:val="center"/>
          </w:tcPr>
          <w:p>
            <w:pPr>
              <w:spacing w:before="43" w:line="184" w:lineRule="auto"/>
              <w:ind w:firstLine="708"/>
              <w:rPr>
                <w:rFonts w:ascii="仿宋" w:hAnsi="仿宋" w:eastAsia="仿宋" w:cs="仿宋"/>
                <w:color w:val="auto"/>
                <w:sz w:val="24"/>
                <w:szCs w:val="24"/>
              </w:rPr>
            </w:pPr>
            <w:r>
              <w:rPr>
                <w:rFonts w:ascii="仿宋" w:hAnsi="仿宋" w:eastAsia="仿宋" w:cs="仿宋"/>
                <w:color w:val="auto"/>
                <w:spacing w:val="-6"/>
                <w:sz w:val="24"/>
                <w:szCs w:val="24"/>
                <w14:textOutline w14:w="4356" w14:cap="sq" w14:cmpd="sng" w14:algn="ctr">
                  <w14:solidFill>
                    <w14:srgbClr w14:val="0D0D0D"/>
                  </w14:solidFill>
                  <w14:prstDash w14:val="solid"/>
                  <w14:bevel/>
                </w14:textOutline>
              </w:rPr>
              <w:t>流程</w:t>
            </w:r>
          </w:p>
        </w:tc>
        <w:tc>
          <w:tcPr>
            <w:tcW w:w="3547" w:type="dxa"/>
            <w:tcBorders>
              <w:top w:val="single" w:color="auto" w:sz="4" w:space="0"/>
            </w:tcBorders>
            <w:vAlign w:val="center"/>
          </w:tcPr>
          <w:p>
            <w:pPr>
              <w:spacing w:before="43" w:line="184" w:lineRule="auto"/>
              <w:ind w:firstLine="1572"/>
              <w:rPr>
                <w:rFonts w:ascii="仿宋" w:hAnsi="仿宋" w:eastAsia="仿宋" w:cs="仿宋"/>
                <w:color w:val="auto"/>
                <w:sz w:val="24"/>
                <w:szCs w:val="24"/>
              </w:rPr>
            </w:pPr>
            <w:r>
              <w:rPr>
                <w:rFonts w:ascii="仿宋" w:hAnsi="仿宋" w:eastAsia="仿宋" w:cs="仿宋"/>
                <w:color w:val="auto"/>
                <w:spacing w:val="-22"/>
                <w:sz w:val="24"/>
                <w:szCs w:val="24"/>
                <w14:textOutline w14:w="4356" w14:cap="sq" w14:cmpd="sng" w14:algn="ctr">
                  <w14:solidFill>
                    <w14:srgbClr w14:val="0D0D0D"/>
                  </w14:solidFill>
                  <w14:prstDash w14:val="solid"/>
                  <w14:bevel/>
                </w14:textOutline>
              </w:rPr>
              <w:t>内容</w:t>
            </w:r>
          </w:p>
        </w:tc>
        <w:tc>
          <w:tcPr>
            <w:tcW w:w="1815" w:type="dxa"/>
            <w:tcBorders>
              <w:top w:val="single" w:color="auto" w:sz="4" w:space="0"/>
              <w:right w:val="single" w:color="auto" w:sz="4" w:space="0"/>
            </w:tcBorders>
            <w:vAlign w:val="center"/>
          </w:tcPr>
          <w:p>
            <w:pPr>
              <w:spacing w:before="43" w:line="184" w:lineRule="auto"/>
              <w:ind w:firstLine="677"/>
              <w:rPr>
                <w:rFonts w:ascii="仿宋" w:hAnsi="仿宋" w:eastAsia="仿宋" w:cs="仿宋"/>
                <w:color w:val="auto"/>
                <w:sz w:val="24"/>
                <w:szCs w:val="24"/>
              </w:rPr>
            </w:pPr>
            <w:r>
              <w:rPr>
                <w:rFonts w:ascii="仿宋" w:hAnsi="仿宋" w:eastAsia="仿宋" w:cs="仿宋"/>
                <w:color w:val="auto"/>
                <w:spacing w:val="-7"/>
                <w:sz w:val="24"/>
                <w:szCs w:val="24"/>
                <w14:textOutline w14:w="4356" w14:cap="sq" w14:cmpd="sng" w14:algn="ctr">
                  <w14:solidFill>
                    <w14:srgbClr w14:val="0D0D0D"/>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054" w:type="dxa"/>
            <w:vMerge w:val="restart"/>
            <w:tcBorders>
              <w:left w:val="single" w:color="auto" w:sz="4" w:space="0"/>
              <w:bottom w:val="nil"/>
            </w:tcBorders>
            <w:vAlign w:val="center"/>
          </w:tcPr>
          <w:p>
            <w:pPr>
              <w:spacing w:before="78" w:line="184" w:lineRule="auto"/>
              <w:rPr>
                <w:rFonts w:ascii="仿宋" w:hAnsi="仿宋" w:eastAsia="仿宋" w:cs="仿宋"/>
                <w:color w:val="auto"/>
                <w:sz w:val="24"/>
                <w:szCs w:val="24"/>
              </w:rPr>
            </w:pPr>
            <w:r>
              <w:rPr>
                <w:rFonts w:ascii="仿宋" w:hAnsi="仿宋" w:eastAsia="仿宋" w:cs="仿宋"/>
                <w:color w:val="auto"/>
                <w:spacing w:val="-6"/>
                <w:sz w:val="24"/>
                <w:szCs w:val="24"/>
              </w:rPr>
              <w:t>报到日</w:t>
            </w:r>
          </w:p>
        </w:tc>
        <w:tc>
          <w:tcPr>
            <w:tcW w:w="1881" w:type="dxa"/>
            <w:vMerge w:val="restart"/>
            <w:tcBorders>
              <w:bottom w:val="nil"/>
            </w:tcBorders>
            <w:vAlign w:val="center"/>
          </w:tcPr>
          <w:p>
            <w:pPr>
              <w:spacing w:before="78" w:line="184" w:lineRule="auto"/>
              <w:rPr>
                <w:rFonts w:ascii="仿宋" w:hAnsi="仿宋" w:eastAsia="仿宋" w:cs="仿宋"/>
                <w:color w:val="auto"/>
                <w:sz w:val="24"/>
                <w:szCs w:val="24"/>
              </w:rPr>
            </w:pPr>
            <w:r>
              <w:rPr>
                <w:rFonts w:ascii="仿宋" w:hAnsi="仿宋" w:eastAsia="仿宋" w:cs="仿宋"/>
                <w:color w:val="auto"/>
                <w:spacing w:val="-3"/>
                <w:sz w:val="24"/>
                <w:szCs w:val="24"/>
              </w:rPr>
              <w:t>参赛队报到</w:t>
            </w:r>
          </w:p>
        </w:tc>
        <w:tc>
          <w:tcPr>
            <w:tcW w:w="3547" w:type="dxa"/>
            <w:vAlign w:val="center"/>
          </w:tcPr>
          <w:p>
            <w:pPr>
              <w:spacing w:before="38" w:line="184" w:lineRule="auto"/>
              <w:ind w:firstLine="120"/>
              <w:rPr>
                <w:rFonts w:ascii="仿宋" w:hAnsi="仿宋" w:eastAsia="仿宋" w:cs="仿宋"/>
                <w:color w:val="auto"/>
                <w:sz w:val="24"/>
                <w:szCs w:val="24"/>
              </w:rPr>
            </w:pPr>
            <w:r>
              <w:rPr>
                <w:rFonts w:ascii="仿宋" w:hAnsi="仿宋" w:eastAsia="仿宋" w:cs="仿宋"/>
                <w:color w:val="auto"/>
                <w:spacing w:val="-3"/>
                <w:sz w:val="24"/>
                <w:szCs w:val="24"/>
              </w:rPr>
              <w:t>参赛队报到</w:t>
            </w:r>
          </w:p>
        </w:tc>
        <w:tc>
          <w:tcPr>
            <w:tcW w:w="1815" w:type="dxa"/>
            <w:tcBorders>
              <w:right w:val="single" w:color="auto" w:sz="4" w:space="0"/>
            </w:tcBorders>
            <w:vAlign w:val="center"/>
          </w:tcPr>
          <w:p>
            <w:pPr>
              <w:spacing w:before="38" w:line="184" w:lineRule="auto"/>
              <w:ind w:firstLine="132"/>
              <w:rPr>
                <w:rFonts w:ascii="仿宋" w:hAnsi="仿宋" w:eastAsia="仿宋" w:cs="仿宋"/>
                <w:color w:val="auto"/>
                <w:sz w:val="24"/>
                <w:szCs w:val="24"/>
              </w:rPr>
            </w:pPr>
            <w:r>
              <w:rPr>
                <w:rFonts w:ascii="仿宋" w:hAnsi="仿宋" w:eastAsia="仿宋" w:cs="仿宋"/>
                <w:color w:val="auto"/>
                <w:spacing w:val="-3"/>
                <w:sz w:val="24"/>
                <w:szCs w:val="24"/>
              </w:rPr>
              <w:t>08:00-15:30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054" w:type="dxa"/>
            <w:vMerge w:val="continue"/>
            <w:tcBorders>
              <w:top w:val="nil"/>
              <w:left w:val="single" w:color="auto" w:sz="4" w:space="0"/>
              <w:bottom w:val="nil"/>
            </w:tcBorders>
            <w:vAlign w:val="center"/>
          </w:tcPr>
          <w:p>
            <w:pPr>
              <w:rPr>
                <w:color w:val="auto"/>
              </w:rPr>
            </w:pPr>
          </w:p>
        </w:tc>
        <w:tc>
          <w:tcPr>
            <w:tcW w:w="1881" w:type="dxa"/>
            <w:vMerge w:val="continue"/>
            <w:tcBorders>
              <w:top w:val="nil"/>
              <w:bottom w:val="nil"/>
            </w:tcBorders>
            <w:vAlign w:val="center"/>
          </w:tcPr>
          <w:p>
            <w:pPr>
              <w:rPr>
                <w:color w:val="auto"/>
              </w:rPr>
            </w:pPr>
          </w:p>
        </w:tc>
        <w:tc>
          <w:tcPr>
            <w:tcW w:w="3547" w:type="dxa"/>
            <w:vAlign w:val="center"/>
          </w:tcPr>
          <w:p>
            <w:pPr>
              <w:spacing w:before="39" w:line="184" w:lineRule="auto"/>
              <w:ind w:firstLine="120"/>
              <w:rPr>
                <w:rFonts w:ascii="仿宋" w:hAnsi="仿宋" w:eastAsia="仿宋" w:cs="仿宋"/>
                <w:color w:val="auto"/>
                <w:sz w:val="24"/>
                <w:szCs w:val="24"/>
              </w:rPr>
            </w:pPr>
            <w:r>
              <w:rPr>
                <w:rFonts w:ascii="仿宋" w:hAnsi="仿宋" w:eastAsia="仿宋" w:cs="仿宋"/>
                <w:color w:val="auto"/>
                <w:spacing w:val="-3"/>
                <w:sz w:val="24"/>
                <w:szCs w:val="24"/>
              </w:rPr>
              <w:t>参赛队熟悉场地</w:t>
            </w:r>
          </w:p>
        </w:tc>
        <w:tc>
          <w:tcPr>
            <w:tcW w:w="1815" w:type="dxa"/>
            <w:tcBorders>
              <w:right w:val="single" w:color="auto" w:sz="4" w:space="0"/>
            </w:tcBorders>
            <w:vAlign w:val="center"/>
          </w:tcPr>
          <w:p>
            <w:pPr>
              <w:spacing w:before="39" w:line="184" w:lineRule="auto"/>
              <w:ind w:firstLine="130"/>
              <w:rPr>
                <w:rFonts w:ascii="仿宋" w:hAnsi="仿宋" w:eastAsia="仿宋" w:cs="仿宋"/>
                <w:color w:val="auto"/>
                <w:sz w:val="24"/>
                <w:szCs w:val="24"/>
              </w:rPr>
            </w:pPr>
            <w:r>
              <w:rPr>
                <w:rFonts w:ascii="仿宋" w:hAnsi="仿宋" w:eastAsia="仿宋" w:cs="仿宋"/>
                <w:color w:val="auto"/>
                <w:spacing w:val="-3"/>
                <w:sz w:val="24"/>
                <w:szCs w:val="24"/>
              </w:rPr>
              <w:t>16:00-17:00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054" w:type="dxa"/>
            <w:vMerge w:val="continue"/>
            <w:tcBorders>
              <w:top w:val="nil"/>
              <w:left w:val="single" w:color="auto" w:sz="4" w:space="0"/>
            </w:tcBorders>
            <w:vAlign w:val="center"/>
          </w:tcPr>
          <w:p>
            <w:pPr>
              <w:rPr>
                <w:color w:val="auto"/>
              </w:rPr>
            </w:pPr>
          </w:p>
        </w:tc>
        <w:tc>
          <w:tcPr>
            <w:tcW w:w="1881" w:type="dxa"/>
            <w:vMerge w:val="continue"/>
            <w:tcBorders>
              <w:top w:val="nil"/>
            </w:tcBorders>
            <w:vAlign w:val="center"/>
          </w:tcPr>
          <w:p>
            <w:pPr>
              <w:rPr>
                <w:color w:val="auto"/>
              </w:rPr>
            </w:pPr>
          </w:p>
        </w:tc>
        <w:tc>
          <w:tcPr>
            <w:tcW w:w="3547" w:type="dxa"/>
            <w:vAlign w:val="center"/>
          </w:tcPr>
          <w:p>
            <w:pPr>
              <w:spacing w:before="40" w:line="184" w:lineRule="auto"/>
              <w:ind w:firstLine="108"/>
              <w:rPr>
                <w:rFonts w:ascii="仿宋" w:hAnsi="仿宋" w:eastAsia="仿宋" w:cs="仿宋"/>
                <w:color w:val="auto"/>
                <w:sz w:val="24"/>
                <w:szCs w:val="24"/>
              </w:rPr>
            </w:pPr>
            <w:r>
              <w:rPr>
                <w:rFonts w:ascii="仿宋" w:hAnsi="仿宋" w:eastAsia="仿宋" w:cs="仿宋"/>
                <w:color w:val="auto"/>
                <w:spacing w:val="-1"/>
                <w:sz w:val="24"/>
                <w:szCs w:val="24"/>
              </w:rPr>
              <w:t>领队会</w:t>
            </w:r>
          </w:p>
        </w:tc>
        <w:tc>
          <w:tcPr>
            <w:tcW w:w="1815" w:type="dxa"/>
            <w:tcBorders>
              <w:right w:val="single" w:color="auto" w:sz="4" w:space="0"/>
            </w:tcBorders>
            <w:vAlign w:val="center"/>
          </w:tcPr>
          <w:p>
            <w:pPr>
              <w:spacing w:before="40" w:line="184" w:lineRule="auto"/>
              <w:ind w:firstLine="130"/>
              <w:rPr>
                <w:rFonts w:ascii="仿宋" w:hAnsi="仿宋" w:eastAsia="仿宋" w:cs="仿宋"/>
                <w:color w:val="auto"/>
                <w:sz w:val="24"/>
                <w:szCs w:val="24"/>
              </w:rPr>
            </w:pPr>
            <w:r>
              <w:rPr>
                <w:rFonts w:ascii="仿宋" w:hAnsi="仿宋" w:eastAsia="仿宋" w:cs="仿宋"/>
                <w:color w:val="auto"/>
                <w:spacing w:val="-3"/>
                <w:sz w:val="24"/>
                <w:szCs w:val="24"/>
              </w:rPr>
              <w:t>16:00-17:00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054" w:type="dxa"/>
            <w:vMerge w:val="restart"/>
            <w:tcBorders>
              <w:top w:val="nil"/>
              <w:left w:val="single" w:color="auto" w:sz="4" w:space="0"/>
            </w:tcBorders>
            <w:vAlign w:val="center"/>
          </w:tcPr>
          <w:p>
            <w:pPr>
              <w:spacing w:before="78"/>
              <w:ind w:firstLine="355" w:firstLineChars="160"/>
              <w:rPr>
                <w:rFonts w:ascii="仿宋" w:hAnsi="仿宋" w:eastAsia="仿宋" w:cs="仿宋"/>
                <w:color w:val="auto"/>
                <w:sz w:val="24"/>
                <w:szCs w:val="24"/>
              </w:rPr>
            </w:pPr>
            <w:r>
              <w:rPr>
                <w:rFonts w:ascii="仿宋" w:hAnsi="仿宋" w:eastAsia="仿宋" w:cs="仿宋"/>
                <w:color w:val="auto"/>
                <w:spacing w:val="-9"/>
                <w:sz w:val="24"/>
                <w:szCs w:val="24"/>
              </w:rPr>
              <w:t>竞赛</w:t>
            </w:r>
          </w:p>
          <w:p>
            <w:pPr>
              <w:ind w:firstLine="224" w:firstLineChars="100"/>
              <w:rPr>
                <w:color w:val="auto"/>
              </w:rPr>
            </w:pPr>
            <w:r>
              <w:rPr>
                <w:rFonts w:ascii="仿宋" w:hAnsi="仿宋" w:eastAsia="仿宋" w:cs="仿宋"/>
                <w:color w:val="auto"/>
                <w:spacing w:val="-8"/>
                <w:sz w:val="24"/>
                <w:szCs w:val="24"/>
              </w:rPr>
              <w:t>第一日</w:t>
            </w:r>
          </w:p>
        </w:tc>
        <w:tc>
          <w:tcPr>
            <w:tcW w:w="1881" w:type="dxa"/>
            <w:vAlign w:val="center"/>
          </w:tcPr>
          <w:p>
            <w:pPr>
              <w:spacing w:before="39" w:line="184" w:lineRule="auto"/>
              <w:ind w:firstLine="150"/>
              <w:rPr>
                <w:rFonts w:ascii="仿宋" w:hAnsi="仿宋" w:eastAsia="仿宋" w:cs="仿宋"/>
                <w:color w:val="auto"/>
                <w:sz w:val="24"/>
                <w:szCs w:val="24"/>
              </w:rPr>
            </w:pPr>
            <w:r>
              <w:rPr>
                <w:rFonts w:ascii="仿宋" w:hAnsi="仿宋" w:eastAsia="仿宋" w:cs="仿宋"/>
                <w:color w:val="auto"/>
                <w:spacing w:val="-9"/>
                <w:sz w:val="24"/>
                <w:szCs w:val="24"/>
              </w:rPr>
              <w:t>比赛检录、加密</w:t>
            </w:r>
          </w:p>
        </w:tc>
        <w:tc>
          <w:tcPr>
            <w:tcW w:w="3547" w:type="dxa"/>
            <w:vAlign w:val="center"/>
          </w:tcPr>
          <w:p>
            <w:pPr>
              <w:spacing w:before="39" w:line="184" w:lineRule="auto"/>
              <w:ind w:firstLine="112"/>
              <w:rPr>
                <w:rFonts w:ascii="仿宋" w:hAnsi="仿宋" w:eastAsia="仿宋" w:cs="仿宋"/>
                <w:color w:val="auto"/>
                <w:sz w:val="24"/>
                <w:szCs w:val="24"/>
              </w:rPr>
            </w:pPr>
            <w:r>
              <w:rPr>
                <w:rFonts w:ascii="仿宋" w:hAnsi="仿宋" w:eastAsia="仿宋" w:cs="仿宋"/>
                <w:color w:val="auto"/>
                <w:spacing w:val="-2"/>
                <w:sz w:val="24"/>
                <w:szCs w:val="24"/>
              </w:rPr>
              <w:t>检录、加密</w:t>
            </w:r>
          </w:p>
        </w:tc>
        <w:tc>
          <w:tcPr>
            <w:tcW w:w="1815" w:type="dxa"/>
            <w:tcBorders>
              <w:right w:val="single" w:color="auto" w:sz="4" w:space="0"/>
            </w:tcBorders>
            <w:vAlign w:val="center"/>
          </w:tcPr>
          <w:p>
            <w:pPr>
              <w:spacing w:before="39" w:line="184" w:lineRule="auto"/>
              <w:ind w:firstLine="132"/>
              <w:rPr>
                <w:rFonts w:ascii="仿宋" w:hAnsi="仿宋" w:eastAsia="仿宋" w:cs="仿宋"/>
                <w:color w:val="auto"/>
                <w:sz w:val="24"/>
                <w:szCs w:val="24"/>
              </w:rPr>
            </w:pPr>
            <w:r>
              <w:rPr>
                <w:rFonts w:ascii="仿宋" w:hAnsi="仿宋" w:eastAsia="仿宋" w:cs="仿宋"/>
                <w:color w:val="auto"/>
                <w:spacing w:val="-3"/>
                <w:sz w:val="24"/>
                <w:szCs w:val="24"/>
              </w:rPr>
              <w:t>08:30-09:00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054" w:type="dxa"/>
            <w:vMerge w:val="continue"/>
            <w:tcBorders>
              <w:left w:val="single" w:color="auto" w:sz="4" w:space="0"/>
            </w:tcBorders>
            <w:vAlign w:val="center"/>
          </w:tcPr>
          <w:p>
            <w:pPr>
              <w:rPr>
                <w:color w:val="auto"/>
              </w:rPr>
            </w:pPr>
          </w:p>
        </w:tc>
        <w:tc>
          <w:tcPr>
            <w:tcW w:w="1881" w:type="dxa"/>
            <w:vAlign w:val="center"/>
          </w:tcPr>
          <w:p>
            <w:pPr>
              <w:spacing w:before="42" w:line="184" w:lineRule="auto"/>
              <w:ind w:firstLine="122"/>
              <w:rPr>
                <w:rFonts w:ascii="仿宋" w:hAnsi="仿宋" w:eastAsia="仿宋" w:cs="仿宋"/>
                <w:color w:val="auto"/>
                <w:sz w:val="24"/>
                <w:szCs w:val="24"/>
              </w:rPr>
            </w:pPr>
            <w:r>
              <w:rPr>
                <w:rFonts w:ascii="仿宋" w:hAnsi="仿宋" w:eastAsia="仿宋" w:cs="仿宋"/>
                <w:color w:val="auto"/>
                <w:spacing w:val="-5"/>
                <w:sz w:val="24"/>
                <w:szCs w:val="24"/>
              </w:rPr>
              <w:t>正式竞赛</w:t>
            </w:r>
          </w:p>
        </w:tc>
        <w:tc>
          <w:tcPr>
            <w:tcW w:w="3547" w:type="dxa"/>
            <w:vAlign w:val="center"/>
          </w:tcPr>
          <w:p>
            <w:pPr>
              <w:spacing w:before="42" w:line="184" w:lineRule="auto"/>
              <w:ind w:firstLine="127"/>
              <w:rPr>
                <w:rFonts w:ascii="仿宋" w:hAnsi="仿宋" w:eastAsia="仿宋" w:cs="仿宋"/>
                <w:color w:val="auto"/>
                <w:sz w:val="24"/>
                <w:szCs w:val="24"/>
              </w:rPr>
            </w:pPr>
            <w:r>
              <w:rPr>
                <w:rFonts w:ascii="仿宋" w:hAnsi="仿宋" w:eastAsia="仿宋" w:cs="仿宋"/>
                <w:color w:val="auto"/>
                <w:spacing w:val="-14"/>
                <w:sz w:val="24"/>
                <w:szCs w:val="24"/>
              </w:rPr>
              <w:t>第一赛段：智能财税—财务共享</w:t>
            </w:r>
          </w:p>
        </w:tc>
        <w:tc>
          <w:tcPr>
            <w:tcW w:w="1815" w:type="dxa"/>
            <w:tcBorders>
              <w:right w:val="single" w:color="auto" w:sz="4" w:space="0"/>
            </w:tcBorders>
            <w:vAlign w:val="center"/>
          </w:tcPr>
          <w:p>
            <w:pPr>
              <w:spacing w:before="42" w:line="184" w:lineRule="auto"/>
              <w:ind w:firstLine="132"/>
              <w:rPr>
                <w:rFonts w:ascii="仿宋" w:hAnsi="仿宋" w:eastAsia="仿宋" w:cs="仿宋"/>
                <w:color w:val="auto"/>
                <w:sz w:val="24"/>
                <w:szCs w:val="24"/>
              </w:rPr>
            </w:pPr>
            <w:r>
              <w:rPr>
                <w:rFonts w:ascii="仿宋" w:hAnsi="仿宋" w:eastAsia="仿宋" w:cs="仿宋"/>
                <w:color w:val="auto"/>
                <w:spacing w:val="-3"/>
                <w:sz w:val="24"/>
                <w:szCs w:val="24"/>
              </w:rPr>
              <w:t>09:00-1</w:t>
            </w:r>
            <w:r>
              <w:rPr>
                <w:rFonts w:hint="eastAsia" w:ascii="仿宋" w:hAnsi="仿宋" w:eastAsia="仿宋" w:cs="仿宋"/>
                <w:color w:val="auto"/>
                <w:spacing w:val="-3"/>
                <w:sz w:val="24"/>
                <w:szCs w:val="24"/>
              </w:rPr>
              <w:t>2</w:t>
            </w:r>
            <w:r>
              <w:rPr>
                <w:rFonts w:ascii="仿宋" w:hAnsi="仿宋" w:eastAsia="仿宋" w:cs="仿宋"/>
                <w:color w:val="auto"/>
                <w:spacing w:val="-3"/>
                <w:sz w:val="24"/>
                <w:szCs w:val="24"/>
              </w:rPr>
              <w:t>:</w:t>
            </w:r>
            <w:r>
              <w:rPr>
                <w:rFonts w:hint="eastAsia" w:ascii="仿宋" w:hAnsi="仿宋" w:eastAsia="仿宋" w:cs="仿宋"/>
                <w:color w:val="auto"/>
                <w:spacing w:val="-3"/>
                <w:sz w:val="24"/>
                <w:szCs w:val="24"/>
              </w:rPr>
              <w:t>0</w:t>
            </w:r>
            <w:r>
              <w:rPr>
                <w:rFonts w:ascii="仿宋" w:hAnsi="仿宋" w:eastAsia="仿宋" w:cs="仿宋"/>
                <w:color w:val="auto"/>
                <w:spacing w:val="-3"/>
                <w:sz w:val="24"/>
                <w:szCs w:val="24"/>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054" w:type="dxa"/>
            <w:vMerge w:val="continue"/>
            <w:tcBorders>
              <w:left w:val="single" w:color="auto" w:sz="4" w:space="0"/>
              <w:bottom w:val="single" w:color="auto" w:sz="4" w:space="0"/>
            </w:tcBorders>
            <w:vAlign w:val="center"/>
          </w:tcPr>
          <w:p>
            <w:pPr>
              <w:rPr>
                <w:color w:val="auto"/>
              </w:rPr>
            </w:pPr>
          </w:p>
        </w:tc>
        <w:tc>
          <w:tcPr>
            <w:tcW w:w="1881" w:type="dxa"/>
            <w:tcBorders>
              <w:bottom w:val="single" w:color="auto" w:sz="4" w:space="0"/>
            </w:tcBorders>
            <w:vAlign w:val="center"/>
          </w:tcPr>
          <w:p>
            <w:pPr>
              <w:spacing w:before="41" w:line="184" w:lineRule="auto"/>
              <w:ind w:firstLine="119"/>
              <w:rPr>
                <w:rFonts w:ascii="仿宋" w:hAnsi="仿宋" w:eastAsia="仿宋" w:cs="仿宋"/>
                <w:color w:val="auto"/>
                <w:sz w:val="24"/>
                <w:szCs w:val="24"/>
              </w:rPr>
            </w:pPr>
            <w:r>
              <w:rPr>
                <w:rFonts w:ascii="仿宋" w:hAnsi="仿宋" w:eastAsia="仿宋" w:cs="仿宋"/>
                <w:color w:val="auto"/>
                <w:spacing w:val="-3"/>
                <w:sz w:val="24"/>
                <w:szCs w:val="24"/>
              </w:rPr>
              <w:t>颁奖及闭赛式</w:t>
            </w:r>
          </w:p>
        </w:tc>
        <w:tc>
          <w:tcPr>
            <w:tcW w:w="3547" w:type="dxa"/>
            <w:tcBorders>
              <w:bottom w:val="single" w:color="auto" w:sz="4" w:space="0"/>
            </w:tcBorders>
            <w:vAlign w:val="center"/>
          </w:tcPr>
          <w:p>
            <w:pPr>
              <w:spacing w:before="41" w:line="184" w:lineRule="auto"/>
              <w:ind w:firstLine="123"/>
              <w:rPr>
                <w:rFonts w:hint="eastAsia" w:ascii="仿宋" w:hAnsi="仿宋" w:eastAsia="仿宋" w:cs="仿宋"/>
                <w:color w:val="auto"/>
                <w:sz w:val="24"/>
                <w:szCs w:val="24"/>
                <w:lang w:val="en-US" w:eastAsia="zh-CN"/>
              </w:rPr>
            </w:pPr>
            <w:r>
              <w:rPr>
                <w:rFonts w:ascii="仿宋" w:hAnsi="仿宋" w:eastAsia="仿宋" w:cs="仿宋"/>
                <w:color w:val="auto"/>
                <w:spacing w:val="-2"/>
                <w:sz w:val="24"/>
                <w:szCs w:val="24"/>
              </w:rPr>
              <w:t>竞赛成绩</w:t>
            </w:r>
            <w:r>
              <w:rPr>
                <w:rFonts w:hint="eastAsia" w:ascii="仿宋" w:hAnsi="仿宋" w:eastAsia="仿宋" w:cs="仿宋"/>
                <w:color w:val="auto"/>
                <w:spacing w:val="-2"/>
                <w:sz w:val="24"/>
                <w:szCs w:val="24"/>
                <w:lang w:val="en-US" w:eastAsia="zh-CN"/>
              </w:rPr>
              <w:t>公布</w:t>
            </w:r>
          </w:p>
        </w:tc>
        <w:tc>
          <w:tcPr>
            <w:tcW w:w="1815" w:type="dxa"/>
            <w:tcBorders>
              <w:bottom w:val="single" w:color="auto" w:sz="4" w:space="0"/>
              <w:right w:val="single" w:color="auto" w:sz="4" w:space="0"/>
            </w:tcBorders>
            <w:vAlign w:val="center"/>
          </w:tcPr>
          <w:p>
            <w:pPr>
              <w:spacing w:before="41" w:line="184" w:lineRule="auto"/>
              <w:ind w:firstLine="130"/>
              <w:rPr>
                <w:rFonts w:ascii="仿宋" w:hAnsi="仿宋" w:eastAsia="仿宋" w:cs="仿宋"/>
                <w:color w:val="auto"/>
                <w:sz w:val="24"/>
                <w:szCs w:val="24"/>
              </w:rPr>
            </w:pPr>
            <w:r>
              <w:rPr>
                <w:rFonts w:ascii="仿宋" w:hAnsi="仿宋" w:eastAsia="仿宋" w:cs="仿宋"/>
                <w:color w:val="auto"/>
                <w:spacing w:val="-3"/>
                <w:sz w:val="24"/>
                <w:szCs w:val="24"/>
              </w:rPr>
              <w:t>14:00-15:00</w:t>
            </w:r>
          </w:p>
        </w:tc>
      </w:tr>
    </w:tbl>
    <w:p>
      <w:pPr>
        <w:rPr>
          <w:color w:val="auto"/>
        </w:rPr>
      </w:pP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六、竞赛规则</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（一）参赛选手报名</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1.参赛资格。参赛选手须为中等职业学校全日制在籍学生。参赛选手须经选拔产生，在往届本赛项中获一等奖的选手，不能再参加本次比赛。</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2.参赛名额。每支参赛队限4名参赛选手，每个学校限</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支队伍参赛，不得跨校组队。</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3.组队限制。由同一法人代表登记、使用同一办学资源、使用多个校名举办同一层次不同类别学历教育的职业院校按一所学校组队。多所职业院校组成的联合学院，不得以联合学院和其成员学校名义重复组队。</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4.选手报名。各参赛院校须按规定的时间和要求上报参赛信息。</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5.人员变更。参赛选手和指导教师报名获得确认后不得随意更换，因故需要更换的，须在开赛10个工作日前出具书面说明，经大赛执委会核实后予以更换，有个别选手已报名确认但未参赛的视为整队弃赛。</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（二）熟悉场地</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参赛选手、指导教师、裁判员和其他工作人员均需按照赛项执委会要求准时到达赛项举办地点，及时办理相关手续，领取相关证件，熟悉场地，做好赛前准备工作。</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（三）正式比赛</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1.所有参赛选手、指导教师、裁判员和其他工作人员须统一着大赛服装，随身携带大赛证件，佩戴大赛身份标识，按照赛项相关规定进入指定区域。</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2.现场为各参赛队统一提供竞赛用品用具（纸、笔、计算器），开赛前，由各参赛队指定选手检查竞赛用计算机，清点核实用品用具并签字确认。</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3.参赛选手不得以任何方式泄露参赛院校、选手姓名等涉及竞赛场上应该保密的信息，不得对业务技能相关知识和操作询问裁判人员。</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4.团体赛段，同队队员可内部低声讨论问题解决方案，不得大声喧哗，不得更换岗位，不得代替操作。</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5.参赛选手须遵守比赛纪律，遵从裁判长、裁判员的现场调度和指挥，竞赛时间终了，经现场指挥人员发出指令后，方可离开赛场。</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（四）成绩评定与结果公布</w:t>
      </w:r>
    </w:p>
    <w:p>
      <w:pPr>
        <w:spacing w:line="360" w:lineRule="auto"/>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1.成绩评定。竞赛成绩通过机考系统自动评分</w:t>
      </w:r>
      <w:r>
        <w:rPr>
          <w:rFonts w:hint="eastAsia" w:ascii="仿宋_GB2312" w:hAnsi="仿宋_GB2312" w:eastAsia="仿宋_GB2312" w:cs="仿宋_GB2312"/>
          <w:color w:val="auto"/>
          <w:sz w:val="32"/>
          <w:szCs w:val="32"/>
          <w:lang w:eastAsia="zh-CN"/>
        </w:rPr>
        <w:t>。</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2.成绩解密。经复核的成绩交由加密裁判在仲裁监督人员的监督下逐层解密，折算的最终成绩须裁判长、仲裁监督人员签字确认。</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3.过程存档。成绩导出、解密等关键节点须进行实况摄录，影像材料存档。</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4.公布比赛结果。经裁判长、仲裁监督人员签字确认的比赛成绩通过特定形式公布，如公示栏公示、电子大屏展示等。</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5.最终成绩宣布。公布2小时无异议后，赛项总成绩的最终成绩单经裁判长、监督仲裁组组长审核签字后，在闭幕式上宣布。</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七、竞赛环境</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环境布置贯彻赛场集中，功能分区，赛台独立的原则，确保选手不受外界影响独立竞赛。在保证大赛安全有序进行的前提条件下，采取多种方式实现数字化开放办赛。</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（一）赛场内设置功能分区，包括竞赛区、观摩区、维保支持区、医疗保障区、职业教育论坛区等。各功能分区应当实现物理隔离，互不干扰。</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二）竞赛区，固定IP地址，配备满足竞赛需求的赛台，每个赛台4个机位，配置双屏电脑。卫生间、医疗、维保支持体系等须设置在警戒范围内，架设信号屏蔽设备，避免选手与外界交换信息、串通作弊。非选手、裁判、仲裁、维保支持人员不得入内。</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三）观摩区，在条件允许的情况下须打造数字观摩区，并避免与竞赛区在一栋建筑内或同一楼层。观摩区内设数字大屏，用于实时显示成绩和赛场动态；设成果展示区，展现职业教育改革发展成果；设置安全通道和警戒线，确保观摩、采访、视察人员在指定区域内活动，保证大赛安全有序进行。</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（四）赛场采用双路供电，配置UPS电源或移动发电设备，防止现场因突然断电导致数据丢失和比赛中断。</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（五）网络带宽，带宽须在100兆及以上，赛场网络不得限速。</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八、技术规范</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（一）教育部《职业教育专业目录（2021年）》（教职成〔2021〕2号）。</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（二）截止202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年12月31日发布并开始在一般企业实施的《企业会计准则》。</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（三）截止202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年12月31日发布并开始实施的税收政策。</w:t>
      </w:r>
    </w:p>
    <w:p>
      <w:pPr>
        <w:numPr>
          <w:ilvl w:val="0"/>
          <w:numId w:val="2"/>
        </w:num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截止202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年12月31日发布并开始实施的其它相关财经类法规、制度等。</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九、技术平台</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（一）财务云服务平台</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竞赛平台采用中联财务云服务平台，平台功能与赛项设计内容完全匹配。平台采用微服务架构、集群式、分布式动态部署，能够同时满足10万人在线操作；平台按照数据层、业务层、应用层进行纵向隔离，通过消息引擎对业务进行模向拆分，同时采用加密算法对关键的数据进行加密、通过令牌对访问接口的安全性进行统一授权、应用防火墙对HTTP的请求进行安全拦截，监控引擎对平台各项指标进行实施监控，能确保平台服务的高可用性。</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（二）平台配套设备参数</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1.考试机：等同I5七代及以上CPU、主频2.0Ghz及以上，内存不低于8G，屏幕分辨率1920*1080，屏蔽USB接口。</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2.操作系统：全新安装64位Windows7及以上版本。</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3.浏览器：采用Chrome86及以上版本。</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4.输入法：微软拼音、搜狗拼音、王码五笔型3种以上中文输入法。</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5.不得安装360、QQ、微信、迅雷等防病毒、通讯及其它工具类软件。</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十、</w:t>
      </w:r>
      <w:r>
        <w:rPr>
          <w:rFonts w:hint="eastAsia" w:ascii="黑体" w:hAnsi="黑体" w:eastAsia="黑体" w:cs="黑体"/>
          <w:color w:val="auto"/>
          <w:spacing w:val="-2"/>
          <w:sz w:val="32"/>
          <w:szCs w:val="32"/>
          <w14:textOutline w14:w="5791" w14:cap="sq" w14:cmpd="sng" w14:algn="ctr">
            <w14:solidFill>
              <w14:srgbClr w14:val="0D0D0D"/>
            </w14:solidFill>
            <w14:prstDash w14:val="solid"/>
            <w14:bevel/>
          </w14:textOutline>
        </w:rPr>
        <w:t>成绩评定</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按照《全国职业院校技能大赛成绩管理办法》的相关要求，根据本赛项自身的特点，选定具有较强操作性的评分方法，编制评分细则。</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（一）评分标准制定原则</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1.赛项评分标准制定遵循“公平、公正、公开”的原则。</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2.应用信息化系统进行机考评分，无人为因素干扰。</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（二）评分方法</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第一赛段为团队赛，业务财务岗100分、票据处理岗100分、会计核算岗140分、财务主管岗120分，总分值460分；每个团队的最终竞赛成绩须折算为百分制，百分制成绩=（团队总成绩÷</w:t>
      </w:r>
      <w:r>
        <w:rPr>
          <w:rFonts w:hint="eastAsia" w:ascii="仿宋_GB2312" w:hAnsi="仿宋_GB2312" w:eastAsia="仿宋_GB2312" w:cs="仿宋_GB2312"/>
          <w:color w:val="auto"/>
          <w:sz w:val="32"/>
          <w:szCs w:val="32"/>
          <w:lang w:val="en-US" w:eastAsia="zh-CN"/>
        </w:rPr>
        <w:t>460</w:t>
      </w:r>
      <w:r>
        <w:rPr>
          <w:rFonts w:hint="eastAsia" w:ascii="仿宋_GB2312" w:hAnsi="仿宋_GB2312" w:eastAsia="仿宋_GB2312" w:cs="仿宋_GB2312"/>
          <w:color w:val="auto"/>
          <w:sz w:val="32"/>
          <w:szCs w:val="32"/>
        </w:rPr>
        <w:t>）×100。</w:t>
      </w:r>
    </w:p>
    <w:p>
      <w:pPr>
        <w:numPr>
          <w:ilvl w:val="0"/>
          <w:numId w:val="3"/>
        </w:num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评分细则</w:t>
      </w:r>
    </w:p>
    <w:p>
      <w:pPr>
        <w:spacing w:before="331" w:line="184" w:lineRule="auto"/>
        <w:ind w:firstLine="36"/>
        <w:rPr>
          <w:color w:val="auto"/>
          <w:sz w:val="32"/>
          <w:szCs w:val="32"/>
        </w:rPr>
      </w:pPr>
      <w:r>
        <w:rPr>
          <w:rFonts w:hint="eastAsia" w:ascii="黑体" w:hAnsi="黑体" w:eastAsia="黑体" w:cs="黑体"/>
          <w:color w:val="auto"/>
          <w:spacing w:val="-3"/>
          <w:sz w:val="28"/>
          <w:szCs w:val="28"/>
          <w14:textOutline w14:w="5105" w14:cap="sq" w14:cmpd="sng" w14:algn="ctr">
            <w14:solidFill>
              <w14:srgbClr w14:val="000000"/>
            </w14:solidFill>
            <w14:prstDash w14:val="solid"/>
            <w14:bevel/>
          </w14:textOutline>
        </w:rPr>
        <w:t>1</w:t>
      </w:r>
      <w:r>
        <w:rPr>
          <w:rFonts w:hint="eastAsia" w:ascii="黑体" w:hAnsi="黑体" w:eastAsia="黑体" w:cs="黑体"/>
          <w:color w:val="auto"/>
          <w:spacing w:val="-3"/>
          <w:sz w:val="32"/>
          <w:szCs w:val="32"/>
          <w14:textOutline w14:w="5105" w14:cap="sq" w14:cmpd="sng" w14:algn="ctr">
            <w14:solidFill>
              <w14:srgbClr w14:val="000000"/>
            </w14:solidFill>
            <w14:prstDash w14:val="solid"/>
            <w14:bevel/>
          </w14:textOutline>
        </w:rPr>
        <w:t>.智能财税—财务共享</w:t>
      </w:r>
    </w:p>
    <w:p>
      <w:pPr>
        <w:spacing w:before="91" w:line="184" w:lineRule="auto"/>
        <w:ind w:firstLine="584"/>
        <w:rPr>
          <w:color w:val="auto"/>
          <w:sz w:val="32"/>
          <w:szCs w:val="32"/>
        </w:rPr>
      </w:pPr>
      <w:r>
        <w:rPr>
          <w:rFonts w:ascii="仿宋" w:hAnsi="仿宋" w:eastAsia="仿宋" w:cs="仿宋"/>
          <w:color w:val="auto"/>
          <w:spacing w:val="-2"/>
          <w:sz w:val="32"/>
          <w:szCs w:val="32"/>
        </w:rPr>
        <w:t>智能财税—财务共享，见表</w:t>
      </w:r>
      <w:r>
        <w:rPr>
          <w:rFonts w:hint="eastAsia" w:ascii="Arial Narrow" w:hAnsi="Arial Narrow" w:cs="Arial Narrow"/>
          <w:color w:val="auto"/>
          <w:spacing w:val="-2"/>
          <w:sz w:val="32"/>
          <w:szCs w:val="32"/>
        </w:rPr>
        <w:t>1</w:t>
      </w:r>
      <w:r>
        <w:rPr>
          <w:rFonts w:ascii="仿宋" w:hAnsi="仿宋" w:eastAsia="仿宋" w:cs="仿宋"/>
          <w:color w:val="auto"/>
          <w:spacing w:val="-2"/>
          <w:sz w:val="32"/>
          <w:szCs w:val="32"/>
        </w:rPr>
        <w:t>。</w:t>
      </w:r>
    </w:p>
    <w:p>
      <w:pPr>
        <w:spacing w:before="91" w:line="184" w:lineRule="auto"/>
        <w:ind w:firstLine="581"/>
        <w:rPr>
          <w:rFonts w:ascii="仿宋" w:hAnsi="仿宋" w:eastAsia="仿宋" w:cs="仿宋"/>
          <w:color w:val="auto"/>
          <w:sz w:val="32"/>
          <w:szCs w:val="32"/>
        </w:rPr>
      </w:pPr>
      <w:r>
        <w:rPr>
          <w:rFonts w:ascii="仿宋" w:hAnsi="仿宋" w:eastAsia="仿宋" w:cs="仿宋"/>
          <w:color w:val="auto"/>
          <w:spacing w:val="-3"/>
          <w:sz w:val="32"/>
          <w:szCs w:val="32"/>
        </w:rPr>
        <w:t>表</w:t>
      </w:r>
      <w:r>
        <w:rPr>
          <w:rFonts w:hint="eastAsia" w:ascii="Arial Narrow" w:hAnsi="Arial Narrow" w:cs="Arial Narrow"/>
          <w:color w:val="auto"/>
          <w:spacing w:val="-3"/>
          <w:sz w:val="32"/>
          <w:szCs w:val="32"/>
        </w:rPr>
        <w:t>1</w:t>
      </w:r>
      <w:r>
        <w:rPr>
          <w:rFonts w:ascii="仿宋" w:hAnsi="仿宋" w:eastAsia="仿宋" w:cs="仿宋"/>
          <w:color w:val="auto"/>
          <w:spacing w:val="-3"/>
          <w:sz w:val="32"/>
          <w:szCs w:val="32"/>
        </w:rPr>
        <w:t>智能财税—财务共享</w:t>
      </w:r>
    </w:p>
    <w:p>
      <w:pPr>
        <w:spacing w:line="170" w:lineRule="exact"/>
        <w:rPr>
          <w:color w:val="auto"/>
        </w:rPr>
      </w:pPr>
    </w:p>
    <w:tbl>
      <w:tblPr>
        <w:tblStyle w:val="7"/>
        <w:tblW w:w="7520" w:type="dxa"/>
        <w:tblInd w:w="2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5"/>
        <w:gridCol w:w="5675"/>
        <w:gridCol w:w="7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075" w:type="dxa"/>
            <w:tcBorders>
              <w:top w:val="single" w:color="auto" w:sz="4" w:space="0"/>
              <w:left w:val="single" w:color="auto" w:sz="4" w:space="0"/>
            </w:tcBorders>
            <w:shd w:val="clear" w:color="auto" w:fill="E7E6E6"/>
          </w:tcPr>
          <w:p>
            <w:pPr>
              <w:spacing w:before="55" w:line="184" w:lineRule="auto"/>
              <w:ind w:firstLine="127"/>
              <w:rPr>
                <w:rFonts w:ascii="宋体" w:hAnsi="宋体" w:cs="宋体"/>
                <w:color w:val="auto"/>
                <w:szCs w:val="21"/>
              </w:rPr>
            </w:pPr>
            <w:r>
              <w:rPr>
                <w:rFonts w:ascii="宋体" w:hAnsi="宋体" w:cs="宋体"/>
                <w:color w:val="auto"/>
                <w:spacing w:val="-3"/>
                <w:szCs w:val="21"/>
                <w14:textOutline w14:w="3797" w14:cap="sq" w14:cmpd="sng" w14:algn="ctr">
                  <w14:solidFill>
                    <w14:srgbClr w14:val="0D0D0D"/>
                  </w14:solidFill>
                  <w14:prstDash w14:val="solid"/>
                  <w14:bevel/>
                </w14:textOutline>
              </w:rPr>
              <w:t>竞赛岗位</w:t>
            </w:r>
          </w:p>
        </w:tc>
        <w:tc>
          <w:tcPr>
            <w:tcW w:w="5675" w:type="dxa"/>
            <w:tcBorders>
              <w:top w:val="single" w:color="auto" w:sz="4" w:space="0"/>
            </w:tcBorders>
            <w:shd w:val="clear" w:color="auto" w:fill="E7E6E6"/>
          </w:tcPr>
          <w:p>
            <w:pPr>
              <w:spacing w:before="55" w:line="184" w:lineRule="auto"/>
              <w:ind w:firstLine="2423"/>
              <w:rPr>
                <w:rFonts w:ascii="宋体" w:hAnsi="宋体" w:cs="宋体"/>
                <w:color w:val="auto"/>
                <w:szCs w:val="21"/>
              </w:rPr>
            </w:pPr>
            <w:r>
              <w:rPr>
                <w:rFonts w:ascii="宋体" w:hAnsi="宋体" w:cs="宋体"/>
                <w:color w:val="auto"/>
                <w:spacing w:val="-3"/>
                <w:szCs w:val="21"/>
              </w:rPr>
              <w:t>评分内容</w:t>
            </w:r>
          </w:p>
        </w:tc>
        <w:tc>
          <w:tcPr>
            <w:tcW w:w="770" w:type="dxa"/>
            <w:tcBorders>
              <w:top w:val="single" w:color="auto" w:sz="4" w:space="0"/>
              <w:right w:val="single" w:color="auto" w:sz="4" w:space="0"/>
            </w:tcBorders>
            <w:shd w:val="clear" w:color="auto" w:fill="E7E6E6"/>
          </w:tcPr>
          <w:p>
            <w:pPr>
              <w:spacing w:before="55" w:line="184" w:lineRule="auto"/>
              <w:ind w:firstLine="130"/>
              <w:rPr>
                <w:rFonts w:ascii="宋体" w:hAnsi="宋体" w:cs="宋体"/>
                <w:color w:val="auto"/>
                <w:szCs w:val="21"/>
              </w:rPr>
            </w:pPr>
            <w:r>
              <w:rPr>
                <w:rFonts w:ascii="宋体" w:hAnsi="宋体" w:cs="宋体"/>
                <w:color w:val="auto"/>
                <w:spacing w:val="-6"/>
                <w:szCs w:val="21"/>
                <w14:textOutline w14:w="3797" w14:cap="sq" w14:cmpd="sng" w14:algn="ctr">
                  <w14:solidFill>
                    <w14:srgbClr w14:val="0D0D0D"/>
                  </w14:solidFill>
                  <w14:prstDash w14:val="solid"/>
                  <w14:bevel/>
                </w14:textOutline>
              </w:rPr>
              <w:t>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4" w:hRule="atLeast"/>
        </w:trPr>
        <w:tc>
          <w:tcPr>
            <w:tcW w:w="1075" w:type="dxa"/>
            <w:tcBorders>
              <w:left w:val="single" w:color="auto" w:sz="4" w:space="0"/>
              <w:bottom w:val="nil"/>
            </w:tcBorders>
            <w:vAlign w:val="center"/>
          </w:tcPr>
          <w:p>
            <w:pPr>
              <w:snapToGrid w:val="0"/>
              <w:spacing w:line="400" w:lineRule="exact"/>
              <w:rPr>
                <w:rFonts w:ascii="仿宋_GB2312" w:hAnsi="等线" w:eastAsia="仿宋_GB2312"/>
                <w:color w:val="auto"/>
                <w:kern w:val="0"/>
                <w:sz w:val="24"/>
                <w:szCs w:val="24"/>
              </w:rPr>
            </w:pPr>
            <w:r>
              <w:rPr>
                <w:rFonts w:hint="eastAsia" w:ascii="仿宋_GB2312" w:hAnsi="等线" w:eastAsia="仿宋_GB2312"/>
                <w:color w:val="auto"/>
                <w:kern w:val="0"/>
                <w:sz w:val="24"/>
                <w:szCs w:val="24"/>
              </w:rPr>
              <w:t>业务财务</w:t>
            </w:r>
          </w:p>
        </w:tc>
        <w:tc>
          <w:tcPr>
            <w:tcW w:w="5675" w:type="dxa"/>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（1）采购与销售业务处理</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采购与付款业务处理，根据采购订单生成并审核采购发票，生成并审核采购入库单及验收单，生成并审核付款单，发起采购结算，生成并审核付款核销单。</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销售与收款业务处理，根据销售订单生成并审核销售出库单，开具增值税发票，生成并审核收款单，生成并审核收款核销单。</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（2）商旅与费控业务处理</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在商旅系统中，根据企业内部制度要求进行差旅费标准设置，其中包括地区级别、交通工具、补贴标准、报销标准等。</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依据企业的实际需求，提供预定机票、酒店等商旅服务及费用控制。</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根据企业报销制度和流程，处理员工报销业务，包括借款、还款、报销冲借款等业务，进行借款报销的账务处理。</w:t>
            </w:r>
          </w:p>
        </w:tc>
        <w:tc>
          <w:tcPr>
            <w:tcW w:w="770" w:type="dxa"/>
            <w:tcBorders>
              <w:right w:val="single" w:color="auto" w:sz="4" w:space="0"/>
            </w:tcBorders>
            <w:vAlign w:val="center"/>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5" w:hRule="atLeast"/>
        </w:trPr>
        <w:tc>
          <w:tcPr>
            <w:tcW w:w="1075" w:type="dxa"/>
            <w:tcBorders>
              <w:left w:val="single" w:color="auto" w:sz="4" w:space="0"/>
              <w:bottom w:val="nil"/>
            </w:tcBorders>
          </w:tcPr>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rPr>
                <w:rFonts w:ascii="仿宋_GB2312" w:hAnsi="等线" w:eastAsia="仿宋_GB2312"/>
                <w:color w:val="auto"/>
                <w:kern w:val="0"/>
                <w:sz w:val="24"/>
                <w:szCs w:val="24"/>
              </w:rPr>
            </w:pPr>
            <w:r>
              <w:rPr>
                <w:rFonts w:hint="eastAsia" w:ascii="仿宋_GB2312" w:hAnsi="等线" w:eastAsia="仿宋_GB2312"/>
                <w:color w:val="auto"/>
                <w:kern w:val="0"/>
                <w:sz w:val="24"/>
                <w:szCs w:val="24"/>
              </w:rPr>
              <w:t>票据处理</w:t>
            </w:r>
          </w:p>
        </w:tc>
        <w:tc>
          <w:tcPr>
            <w:tcW w:w="5675" w:type="dxa"/>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（1）单据采集：对不同业务的进销项发票、费用类单据、银行回单等单据的电子影像进行采集。</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2）单据识别与查验：使用票据管理系统对单据电子影像进行OCR识别，完成增值税发票真伪查验；根据系统初步完成的分类，对自动分类有误的进项发票、销项发票、费用类单据、银行回单等单据进行分类调整；对每张单据进行核查，确认识别的正确性。</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（3）单据审核：对发票的合法性及发票要素的正确性进行审核；对采购类、销售类、费用类、银行类等单据的合规性、合理性进行审核。</w:t>
            </w:r>
          </w:p>
        </w:tc>
        <w:tc>
          <w:tcPr>
            <w:tcW w:w="770" w:type="dxa"/>
            <w:tcBorders>
              <w:right w:val="single" w:color="auto" w:sz="4" w:space="0"/>
            </w:tcBorders>
          </w:tcPr>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5" w:hRule="atLeast"/>
        </w:trPr>
        <w:tc>
          <w:tcPr>
            <w:tcW w:w="1075" w:type="dxa"/>
            <w:vMerge w:val="restart"/>
            <w:tcBorders>
              <w:left w:val="single" w:color="auto" w:sz="4" w:space="0"/>
            </w:tcBorders>
          </w:tcPr>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rPr>
                <w:rFonts w:ascii="仿宋_GB2312" w:hAnsi="等线" w:eastAsia="仿宋_GB2312"/>
                <w:color w:val="auto"/>
                <w:kern w:val="0"/>
                <w:sz w:val="24"/>
                <w:szCs w:val="24"/>
              </w:rPr>
            </w:pPr>
            <w:r>
              <w:rPr>
                <w:rFonts w:hint="eastAsia" w:ascii="仿宋_GB2312" w:hAnsi="等线" w:eastAsia="仿宋_GB2312"/>
                <w:color w:val="auto"/>
                <w:kern w:val="0"/>
                <w:sz w:val="24"/>
                <w:szCs w:val="24"/>
              </w:rPr>
              <w:t>会计核算</w:t>
            </w:r>
          </w:p>
        </w:tc>
        <w:tc>
          <w:tcPr>
            <w:tcW w:w="5675" w:type="dxa"/>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1.日常账务处理</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（1）通过票据管理系统开具的销售发票自动生成记账凭证。</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（2）在会计核算系统中，利用机器学习或记账通用规则（业务类型），对通过审核的单张单据自动匹配业务类型并自动生成记账凭证，并将该笔业务已采集的相关票据影像添加至凭证中。</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（3）在会计核算系统中，对票据进行匹配业务类型，并采用批量制单自动生成记账凭证。</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w:t>
            </w:r>
            <w:r>
              <w:rPr>
                <w:rFonts w:hint="eastAsia" w:ascii="仿宋_GB2312" w:hAnsi="等线" w:eastAsia="仿宋_GB2312"/>
                <w:color w:val="auto"/>
                <w:kern w:val="0"/>
                <w:sz w:val="24"/>
                <w:szCs w:val="24"/>
                <w:lang w:val="en-US" w:eastAsia="zh-CN"/>
              </w:rPr>
              <w:t>4</w:t>
            </w:r>
            <w:r>
              <w:rPr>
                <w:rFonts w:hint="eastAsia" w:ascii="仿宋_GB2312" w:hAnsi="等线" w:eastAsia="仿宋_GB2312"/>
                <w:color w:val="auto"/>
                <w:kern w:val="0"/>
                <w:sz w:val="24"/>
                <w:szCs w:val="24"/>
              </w:rPr>
              <w:t>）对会计核算系统自动匹配生成的记账凭证进行检查，如有错误进行手工调整匹配正确业务类型并生成记账凭证，并将已采集的相关票据影像添加至凭证中。</w:t>
            </w:r>
          </w:p>
        </w:tc>
        <w:tc>
          <w:tcPr>
            <w:tcW w:w="770" w:type="dxa"/>
            <w:tcBorders>
              <w:right w:val="single" w:color="auto" w:sz="4" w:space="0"/>
            </w:tcBorders>
          </w:tcPr>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0" w:hRule="atLeast"/>
        </w:trPr>
        <w:tc>
          <w:tcPr>
            <w:tcW w:w="1075" w:type="dxa"/>
            <w:vMerge w:val="continue"/>
            <w:tcBorders>
              <w:left w:val="single" w:color="auto" w:sz="4" w:space="0"/>
            </w:tcBorders>
          </w:tcPr>
          <w:p>
            <w:pPr>
              <w:snapToGrid w:val="0"/>
              <w:spacing w:line="400" w:lineRule="exact"/>
              <w:ind w:firstLine="240" w:firstLineChars="100"/>
              <w:rPr>
                <w:rFonts w:ascii="仿宋_GB2312" w:hAnsi="等线" w:eastAsia="仿宋_GB2312"/>
                <w:color w:val="auto"/>
                <w:kern w:val="0"/>
                <w:sz w:val="24"/>
                <w:szCs w:val="24"/>
              </w:rPr>
            </w:pPr>
          </w:p>
        </w:tc>
        <w:tc>
          <w:tcPr>
            <w:tcW w:w="5675" w:type="dxa"/>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2.薪酬业务处理</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（1）薪酬管理模块基础设置：包括工资、社会保险、住房公积金、专项附加扣除信息、核算科目等设置。</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（2）在会计核算系统进行人员工资信息导入操作，对职工薪酬、社保与公积金、个税进行计算。</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（3）运用工资模块进行个人所得税专项扣除与专项附加扣除的检查与修改，进行个人所得税申报的检查与修改。</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（4）运用会计核算系统生成计提工资、社保及公积金、代扣个税等记账凭证。</w:t>
            </w:r>
          </w:p>
        </w:tc>
        <w:tc>
          <w:tcPr>
            <w:tcW w:w="770" w:type="dxa"/>
            <w:tcBorders>
              <w:right w:val="single" w:color="auto" w:sz="4" w:space="0"/>
            </w:tcBorders>
            <w:vAlign w:val="center"/>
          </w:tcPr>
          <w:p>
            <w:pPr>
              <w:spacing w:before="68" w:line="180" w:lineRule="auto"/>
              <w:ind w:firstLine="285"/>
              <w:rPr>
                <w:rFonts w:ascii="宋体" w:hAnsi="宋体" w:cs="宋体"/>
                <w:color w:val="auto"/>
                <w:spacing w:val="-5"/>
                <w:szCs w:val="21"/>
              </w:rPr>
            </w:pPr>
            <w:r>
              <w:rPr>
                <w:rFonts w:hint="eastAsia" w:ascii="仿宋_GB2312" w:hAnsi="等线" w:eastAsia="仿宋_GB2312"/>
                <w:color w:val="auto"/>
                <w:kern w:val="0"/>
                <w:sz w:val="24"/>
                <w:szCs w:val="24"/>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0" w:hRule="atLeast"/>
        </w:trPr>
        <w:tc>
          <w:tcPr>
            <w:tcW w:w="1075" w:type="dxa"/>
            <w:vMerge w:val="continue"/>
            <w:tcBorders>
              <w:left w:val="single" w:color="auto" w:sz="4" w:space="0"/>
            </w:tcBorders>
          </w:tcPr>
          <w:p>
            <w:pPr>
              <w:snapToGrid w:val="0"/>
              <w:spacing w:line="400" w:lineRule="exact"/>
              <w:ind w:firstLine="240" w:firstLineChars="100"/>
              <w:rPr>
                <w:rFonts w:ascii="仿宋_GB2312" w:hAnsi="等线" w:eastAsia="仿宋_GB2312"/>
                <w:color w:val="auto"/>
                <w:kern w:val="0"/>
                <w:sz w:val="24"/>
                <w:szCs w:val="24"/>
              </w:rPr>
            </w:pPr>
          </w:p>
        </w:tc>
        <w:tc>
          <w:tcPr>
            <w:tcW w:w="5675" w:type="dxa"/>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3.固定资产业务处理</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（1）资产管理模块基础设置：包括期初资产卡片设置、部门费用科目设置等。</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（2）运用会计核算系统，完成固定资产卡片的增、删、改等操作，完成自动生成记账凭证操作。按期间按类别计提资产折旧并生成记账凭证。</w:t>
            </w:r>
          </w:p>
        </w:tc>
        <w:tc>
          <w:tcPr>
            <w:tcW w:w="770" w:type="dxa"/>
            <w:tcBorders>
              <w:right w:val="single" w:color="auto" w:sz="4" w:space="0"/>
            </w:tcBorders>
            <w:vAlign w:val="center"/>
          </w:tcPr>
          <w:p>
            <w:pPr>
              <w:spacing w:before="68" w:line="180" w:lineRule="auto"/>
              <w:ind w:firstLine="285"/>
              <w:rPr>
                <w:rFonts w:ascii="宋体" w:hAnsi="宋体" w:cs="宋体"/>
                <w:color w:val="auto"/>
                <w:spacing w:val="-5"/>
                <w:szCs w:val="21"/>
              </w:rPr>
            </w:pPr>
            <w:r>
              <w:rPr>
                <w:rFonts w:hint="eastAsia" w:ascii="仿宋_GB2312" w:hAnsi="等线" w:eastAsia="仿宋_GB2312"/>
                <w:color w:val="auto"/>
                <w:kern w:val="0"/>
                <w:sz w:val="24"/>
                <w:szCs w:val="24"/>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5" w:hRule="atLeast"/>
        </w:trPr>
        <w:tc>
          <w:tcPr>
            <w:tcW w:w="1075" w:type="dxa"/>
            <w:vMerge w:val="continue"/>
            <w:tcBorders>
              <w:left w:val="single" w:color="auto" w:sz="4" w:space="0"/>
              <w:bottom w:val="nil"/>
            </w:tcBorders>
          </w:tcPr>
          <w:p>
            <w:pPr>
              <w:snapToGrid w:val="0"/>
              <w:spacing w:line="400" w:lineRule="exact"/>
              <w:ind w:firstLine="240" w:firstLineChars="100"/>
              <w:rPr>
                <w:rFonts w:ascii="仿宋_GB2312" w:hAnsi="等线" w:eastAsia="仿宋_GB2312"/>
                <w:color w:val="auto"/>
                <w:kern w:val="0"/>
                <w:sz w:val="24"/>
                <w:szCs w:val="24"/>
              </w:rPr>
            </w:pPr>
          </w:p>
        </w:tc>
        <w:tc>
          <w:tcPr>
            <w:tcW w:w="5675" w:type="dxa"/>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4.期末会计事项处理</w:t>
            </w:r>
          </w:p>
          <w:p>
            <w:pPr>
              <w:snapToGrid w:val="0"/>
              <w:spacing w:line="400" w:lineRule="exact"/>
              <w:ind w:firstLine="480" w:firstLineChars="200"/>
              <w:rPr>
                <w:rFonts w:ascii="仿宋_GB2312" w:hAnsi="等线" w:eastAsia="仿宋_GB2312"/>
                <w:color w:val="auto"/>
                <w:kern w:val="0"/>
                <w:sz w:val="24"/>
                <w:szCs w:val="24"/>
              </w:rPr>
            </w:pPr>
            <w:r>
              <w:rPr>
                <w:rFonts w:hint="eastAsia" w:ascii="仿宋_GB2312" w:hAnsi="等线" w:eastAsia="仿宋_GB2312"/>
                <w:color w:val="auto"/>
                <w:kern w:val="0"/>
                <w:sz w:val="24"/>
                <w:szCs w:val="24"/>
              </w:rPr>
              <w:t>月末结转：结转销售成本、损益结转、结转本年利润等。</w:t>
            </w:r>
          </w:p>
        </w:tc>
        <w:tc>
          <w:tcPr>
            <w:tcW w:w="770" w:type="dxa"/>
            <w:tcBorders>
              <w:right w:val="single" w:color="auto" w:sz="4" w:space="0"/>
            </w:tcBorders>
            <w:vAlign w:val="center"/>
          </w:tcPr>
          <w:p>
            <w:pPr>
              <w:spacing w:before="68" w:line="180" w:lineRule="auto"/>
              <w:ind w:firstLine="285"/>
              <w:rPr>
                <w:rFonts w:ascii="宋体" w:hAnsi="宋体" w:cs="宋体"/>
                <w:color w:val="auto"/>
                <w:spacing w:val="-5"/>
                <w:szCs w:val="21"/>
              </w:rPr>
            </w:pPr>
            <w:r>
              <w:rPr>
                <w:rFonts w:hint="eastAsia" w:ascii="仿宋_GB2312" w:hAnsi="等线" w:eastAsia="仿宋_GB2312"/>
                <w:color w:val="auto"/>
                <w:kern w:val="0"/>
                <w:sz w:val="24"/>
                <w:szCs w:val="24"/>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75" w:type="dxa"/>
            <w:tcBorders>
              <w:left w:val="single" w:color="auto" w:sz="4" w:space="0"/>
              <w:bottom w:val="single" w:color="auto" w:sz="4" w:space="0"/>
            </w:tcBorders>
          </w:tcPr>
          <w:p>
            <w:pPr>
              <w:snapToGrid w:val="0"/>
              <w:spacing w:line="400" w:lineRule="exact"/>
              <w:ind w:firstLine="240" w:firstLineChars="100"/>
              <w:rPr>
                <w:rFonts w:ascii="仿宋_GB2312" w:hAnsi="等线" w:eastAsia="仿宋_GB2312"/>
                <w:color w:val="auto"/>
                <w:kern w:val="0"/>
                <w:sz w:val="24"/>
                <w:szCs w:val="24"/>
              </w:rPr>
            </w:pPr>
          </w:p>
          <w:p>
            <w:pPr>
              <w:snapToGrid w:val="0"/>
              <w:spacing w:line="400" w:lineRule="exact"/>
              <w:rPr>
                <w:rFonts w:ascii="仿宋_GB2312" w:hAnsi="等线" w:eastAsia="仿宋_GB2312"/>
                <w:color w:val="auto"/>
                <w:kern w:val="0"/>
                <w:sz w:val="24"/>
                <w:szCs w:val="24"/>
              </w:rPr>
            </w:pPr>
          </w:p>
          <w:p>
            <w:pPr>
              <w:snapToGrid w:val="0"/>
              <w:spacing w:line="400" w:lineRule="exact"/>
              <w:rPr>
                <w:rFonts w:ascii="仿宋_GB2312" w:hAnsi="等线" w:eastAsia="仿宋_GB2312"/>
                <w:color w:val="auto"/>
                <w:kern w:val="0"/>
                <w:sz w:val="24"/>
                <w:szCs w:val="24"/>
              </w:rPr>
            </w:pPr>
            <w:r>
              <w:rPr>
                <w:rFonts w:hint="eastAsia" w:ascii="仿宋_GB2312" w:hAnsi="等线" w:eastAsia="仿宋_GB2312"/>
                <w:color w:val="auto"/>
                <w:kern w:val="0"/>
                <w:sz w:val="24"/>
                <w:szCs w:val="24"/>
              </w:rPr>
              <w:t>财务主管</w:t>
            </w:r>
          </w:p>
        </w:tc>
        <w:tc>
          <w:tcPr>
            <w:tcW w:w="5675" w:type="dxa"/>
            <w:tcBorders>
              <w:bottom w:val="single" w:color="auto" w:sz="4" w:space="0"/>
            </w:tcBorders>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1.审核记账凭证、总账、明细账、辅助账、科目余额表等。</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2.财务报表编制：生成资产负债表、利润表、现金流量表并审核。</w:t>
            </w:r>
          </w:p>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3.内部报表编制：根据账务数据和报表数据进行内部报表编制。</w:t>
            </w:r>
          </w:p>
        </w:tc>
        <w:tc>
          <w:tcPr>
            <w:tcW w:w="770" w:type="dxa"/>
            <w:tcBorders>
              <w:bottom w:val="single" w:color="auto" w:sz="4" w:space="0"/>
              <w:right w:val="single" w:color="auto" w:sz="4" w:space="0"/>
            </w:tcBorders>
            <w:vAlign w:val="center"/>
          </w:tcPr>
          <w:p>
            <w:pPr>
              <w:snapToGrid w:val="0"/>
              <w:spacing w:line="400" w:lineRule="exact"/>
              <w:ind w:firstLine="240" w:firstLineChars="100"/>
              <w:rPr>
                <w:rFonts w:ascii="仿宋_GB2312" w:hAnsi="等线" w:eastAsia="仿宋_GB2312"/>
                <w:color w:val="auto"/>
                <w:kern w:val="0"/>
                <w:sz w:val="24"/>
                <w:szCs w:val="24"/>
              </w:rPr>
            </w:pPr>
            <w:r>
              <w:rPr>
                <w:rFonts w:hint="eastAsia" w:ascii="仿宋_GB2312" w:hAnsi="等线" w:eastAsia="仿宋_GB2312"/>
                <w:color w:val="auto"/>
                <w:kern w:val="0"/>
                <w:sz w:val="24"/>
                <w:szCs w:val="24"/>
              </w:rPr>
              <w:t>120</w:t>
            </w:r>
          </w:p>
        </w:tc>
      </w:tr>
    </w:tbl>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十一、奖项设定</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大赛设参赛队团体奖和优秀指导教师奖。</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（一）参赛选手团体奖</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设团体一、二、三等奖。以实际参赛队总数为基数，一、二、三等奖比例分别为</w:t>
      </w:r>
      <w:r>
        <w:rPr>
          <w:rFonts w:hint="eastAsia" w:ascii="Arial Narrow" w:hAnsi="Arial Narrow" w:eastAsia="仿宋_GB2312" w:cs="宋体"/>
          <w:color w:val="auto"/>
          <w:sz w:val="32"/>
          <w:szCs w:val="32"/>
          <w:lang w:val="en-US" w:eastAsia="zh-CN"/>
        </w:rPr>
        <w:t>10</w:t>
      </w:r>
      <w:r>
        <w:rPr>
          <w:rFonts w:hint="eastAsia" w:ascii="Arial Narrow" w:hAnsi="Arial Narrow" w:eastAsia="仿宋_GB2312" w:cs="宋体"/>
          <w:color w:val="auto"/>
          <w:sz w:val="32"/>
          <w:szCs w:val="32"/>
        </w:rPr>
        <w:t>%、</w:t>
      </w:r>
      <w:r>
        <w:rPr>
          <w:rFonts w:hint="eastAsia" w:ascii="Arial Narrow" w:hAnsi="Arial Narrow" w:eastAsia="仿宋_GB2312" w:cs="宋体"/>
          <w:color w:val="auto"/>
          <w:sz w:val="32"/>
          <w:szCs w:val="32"/>
          <w:lang w:val="en-US" w:eastAsia="zh-CN"/>
        </w:rPr>
        <w:t>20</w:t>
      </w:r>
      <w:r>
        <w:rPr>
          <w:rFonts w:hint="eastAsia" w:ascii="Arial Narrow" w:hAnsi="Arial Narrow" w:eastAsia="仿宋_GB2312" w:cs="宋体"/>
          <w:color w:val="auto"/>
          <w:sz w:val="32"/>
          <w:szCs w:val="32"/>
        </w:rPr>
        <w:t>%、</w:t>
      </w:r>
      <w:r>
        <w:rPr>
          <w:rFonts w:hint="eastAsia" w:ascii="Arial Narrow" w:hAnsi="Arial Narrow" w:eastAsia="仿宋_GB2312" w:cs="宋体"/>
          <w:color w:val="auto"/>
          <w:sz w:val="32"/>
          <w:szCs w:val="32"/>
          <w:lang w:val="en-US" w:eastAsia="zh-CN"/>
        </w:rPr>
        <w:t>30</w:t>
      </w:r>
      <w:r>
        <w:rPr>
          <w:rFonts w:hint="eastAsia" w:ascii="Arial Narrow" w:hAnsi="Arial Narrow" w:eastAsia="仿宋_GB2312" w:cs="宋体"/>
          <w:color w:val="auto"/>
          <w:sz w:val="32"/>
          <w:szCs w:val="32"/>
        </w:rPr>
        <w:t>%（小数点后四舍五入）。评比成绩保留小数点后两位，第三位四舍五入，若出现成绩相同情况，可追溯到小数点后第三位。</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（二）优秀指导教师奖</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获得团体一等奖的参赛队指导教师获“优秀指导教师奖”。</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十二、赛场预案</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承办单位应建立应急预案实施机制，在比赛过程中不可控，但可能出现的紧急情况需要采取预防措施，并配备应急管理人员和设备。断电、断网等极端情况须赛前演练紧急处理方案，明确处理程序。</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（一）关键设施设备备用</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1.赛台备用：竞赛现场配置不少于3组的备用赛台。</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2.交换机备用:1台核心交换机及4台48口普通交换机。</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3.网络宽带备用:赛场内配置备用网络宽带。</w:t>
      </w:r>
    </w:p>
    <w:p>
      <w:pPr>
        <w:spacing w:line="360" w:lineRule="auto"/>
        <w:ind w:firstLine="640" w:firstLineChars="200"/>
        <w:rPr>
          <w:rFonts w:ascii="Arial Narrow" w:hAnsi="Arial Narrow" w:eastAsia="仿宋_GB2312" w:cs="宋体"/>
          <w:color w:val="auto"/>
          <w:sz w:val="32"/>
          <w:szCs w:val="32"/>
        </w:rPr>
      </w:pPr>
      <w:r>
        <w:rPr>
          <w:rFonts w:hint="eastAsia" w:ascii="仿宋_GB2312" w:hAnsi="仿宋_GB2312" w:eastAsia="仿宋_GB2312" w:cs="仿宋_GB2312"/>
          <w:color w:val="auto"/>
          <w:sz w:val="32"/>
          <w:szCs w:val="32"/>
        </w:rPr>
        <w:t>4.电源备用：现场配置UPS电源或移动发电设备确保供电。</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（二）设施设备故障处理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出现断电、断网故障，技术支持人员应及时采取措施予以排除，裁判有权暂停比赛计时，待故障排除后，恢复竞赛，并进行延时补偿。故障原则上应当在30分钟内解决，30分钟内无法得到解决，可宣布该赛场停止竞赛。</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个别队员竞赛机出现故障，选手须举手示意，技术支持人员须及时响应，5分钟内无法解决的须更换赛台，裁判根据现场情况进行延时补偿。</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（三）紧急情况处理程序</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断电、断网事项发生时，发现者应第一时间报告裁判长，裁判长须立即启动应急预案，并向执委会报告，是否停赛由执委会决定。事后，执委会应向组委会报告详细情况。</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十三、赛项安全</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赛事安全是大赛一切工作顺利开展的基础和前提，是所有赛项筹备和运行工作的核心问题，赛项执委会须采取切实有效措施保证大赛期间参赛选手、指导教师、工作人员及观众的人身安全。</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（一）组织管理</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成立安全管理专班，建立与行政、交通、公安、消防、食品卫生、质量监督等部门的协调机制，处置突发事件，保证赛区及其赛项的安全；成立疫情防控专班，建立与卫生、疾病防疫等部门的协调机制，制定应急预案，保证赛区及其赛项的疫情防控安全工作。</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（二）比赛环境</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1.赛场周围须设立警戒线，禁止无关人员入内。</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2.赛场内须设置医疗保障区，配备救护车1台。</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3.赛场内的竞赛设备须符合国家有关安全规定。</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4.赛场及关联区内须设置齐全的指示标志，并开辟安全通道。</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5.赛场及关联区内须保证通风，每天进行预防性卫生消毒作业。</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（三）生活条件</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1.比赛期间，原则上由执委会统一安排参赛选手和指导教师的食宿。承办单位须尊重少数民族的信仰及文化，根据国家相关的民族政策，安排好少数民族选手和教师的饮食起居。</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2.比赛期间安排的住宿地应具有宾馆/住宿经营许可资质。以学校宿舍作为住宿地的，大赛期间的住宿、卫生、饮食安全等由执委会</w:t>
      </w:r>
    </w:p>
    <w:p>
      <w:pPr>
        <w:spacing w:line="360" w:lineRule="auto"/>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和提供宿舍的学校共同负责。</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3.大赛期间有组织的参观和观摩活动的交通安全由执委会负责。执委会和承办单位须保证比赛期间选手、指导教师和工作人员的交通安全。</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4.各赛项的安全管理，除了可以采取必要的安全隔离措施外，应严格遵守国家相关法律法规，保护个人隐私和人身自由。</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（四）组队责任</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1.各学校组织参赛队时，须为参赛选手购买大赛期间的人身意外伤害保险。</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2.各院校参赛队组队后，须制定相关管理制度，落实安全责任制，确定安全责任人，签订安全承诺书，并对参赛选手、指导教师和领队进行安全教育。</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3.各参赛队伍须加强对参与比赛人员的安全管理，实现与赛场安全管理的对接。</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（五）应急处理</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（六）处罚措施</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1.因参赛队伍原因造成重大安全事故的，取消其获奖资格。</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2.参赛队伍有发生重大安全事故隐患，经赛场工作人员提示、警告无效的，可取消其继续比赛的资格。</w:t>
      </w:r>
    </w:p>
    <w:p>
      <w:pPr>
        <w:spacing w:line="360" w:lineRule="auto"/>
        <w:ind w:firstLine="64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32"/>
          <w:szCs w:val="32"/>
        </w:rPr>
        <w:t>3.赛事工作人员违规的，按照相应的制度追究责任。情节恶劣并造成重大安全事故的，由司法机关追究相应法律责任。</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十四、竞赛须知</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（一）参赛队须知</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1.赛前，各参赛院校须为参赛选手购买参赛保险。</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2.参赛队须按照大赛赛程安排，凭大赛组委会颁发的参赛证和有效身份证件参加比赛及相关赛事活动。</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3.参赛队相关协调及对接工作由领队牵头，在参赛队认为存在不符合竞赛规定的违规行为时，由领队负责申诉。</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4.在赛事期间，领队及参赛队其他成员不得私自接触裁判，对于有碍比赛公正和比赛正常进行的参赛队，视其情节轻重，按照大赛奖惩办法相关规定给予警告、取消比赛成绩、通报批评等处理。</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5.参赛队所有相关人员不得利用网络、微信群等各种媒体发表虚假信息和不当言论。</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（二）指导教师须知</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1.指导教师须制定合理的训练方案、认真指导选手训练，克服功利化思想，避免为赛而学，以赛代学。</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2.指导教师须做好参赛选手保险办理工作，积极做好选手的安全教育。</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3.指导教师参加赛项观摩等活动，不得进入赛场，不得干扰比赛正常进行。</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4.指导教师应自觉遵守大赛各项制度，尊重专家、裁判、监督仲裁及赛项承办单位工作人员，对比赛过程中的争议问题，要按大赛制度规定程序处理。</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5.指导教师不得在网络、微信群等各种媒体发表、传播有待核实信息和过激言论。</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（三）参赛选手须知</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1.参赛选手须注意仪容仪表整洁、大方，提前30分钟抵达进入候赛区。凭参赛证、身份证件检录，按要求入场。不允许携带任何电子产品、通讯工具及其它与竞赛有关的资料和书籍，不得迟到早退。</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2.参赛选手登录答题系统后限时答题，竞赛过程中须注意保存成果，竞赛结束前注意交卷。</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3.竞赛过程中，如有疑问，遇到故障或其他意外情况，须举手示意，由现场裁判按有关规定处理。</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4.参赛选手须爱护赛场使用的设备、仪器等，不得人为损坏比赛所使用的仪器设备，一旦出现较严重的安全事故，经裁判长批准后将立即取消其参赛资格。</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5.参赛选手须文明参赛，服从裁判统一指挥，尊重赛场工作人员，自觉维护赛场秩序，因对裁判不服而停止比赛的，以弃权处理。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（四）工作人员须知</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1.专家</w:t>
      </w:r>
      <w:bookmarkStart w:id="2" w:name="_GoBack"/>
      <w:r>
        <w:rPr>
          <w:rFonts w:hint="eastAsia" w:ascii="仿宋_GB2312" w:hAnsi="仿宋_GB2312" w:eastAsia="仿宋_GB2312" w:cs="仿宋_GB2312"/>
          <w:color w:val="auto"/>
          <w:sz w:val="32"/>
          <w:szCs w:val="32"/>
        </w:rPr>
        <w:t>，积极指导、支持裁判工作，不得进入比赛现场，不得影响或干扰裁判独立履行裁判职责。</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2.裁判，在裁判长的领导下，依据相关规定进行现场执裁，做好竞赛监督、检查工作，维护赛场秩序，保证竞赛顺利进行。</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3.监督仲裁，监督</w:t>
      </w:r>
      <w:bookmarkEnd w:id="2"/>
      <w:r>
        <w:rPr>
          <w:rFonts w:hint="eastAsia" w:ascii="仿宋_GB2312" w:hAnsi="仿宋_GB2312" w:eastAsia="仿宋_GB2312" w:cs="仿宋_GB2312"/>
          <w:color w:val="auto"/>
          <w:sz w:val="32"/>
          <w:szCs w:val="32"/>
        </w:rPr>
        <w:t>只对程序与过程监督，不得参与具体赛事组织活动，不得参与裁判工作，须在比赛现场，须及时处理申诉。</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4.其他现场工作人员，须到岗尽职，保障电、耗材的连续供应，做好技术保障工作，遵守工作纪律，听从裁判长指挥，协助维持赛场秩序。</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5.所有赛场工作人员须保持安静，不得随意走动、喧哗，不得提示选手，不得干扰选手正常操作。除经特别允许，工作人员进入赛场不得携带任何通讯工具、照相摄录设备等。</w:t>
      </w:r>
    </w:p>
    <w:p>
      <w:pPr>
        <w:pStyle w:val="2"/>
        <w:spacing w:before="156" w:beforeLines="50" w:after="156" w:afterLines="50"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十五、申诉与仲裁</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竞赛期间，监督仲裁人员的姓名、联系方式、工作地点向参赛队和工作人员公示，确保信息畅通并同时接受大众监督。</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各参赛队对不符合大赛和赛项规程规定的计算机软硬件、竞赛使用工具、用品，竞赛执裁、赛场管理，以及工作人员的不规范行为等，可向赛项监督仲裁组提出申诉。</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申诉启动时，由责任领队向赛项监督仲裁工作组递交亲笔签字同意的书面申诉报告。申诉报告应对申诉事件的现象、发生时间、涉及人员、申诉依据等进行充分、实事求是的叙述。非书面申诉不予受理。</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提出申诉的时间应在比赛结束后（选手赛场比赛内容全部完成）2小时内。超过时效不予受理。赛项监督仲裁工作组在接到申诉报告后的2小时内组织复议，并及时将复议结果以书面形式告知申诉方。申诉方对复议结果仍有异议，由领队向赛区仲裁委员会提出申诉。赛区仲裁委员会的仲裁结果为最终结果。</w:t>
      </w:r>
    </w:p>
    <w:p>
      <w:pPr>
        <w:spacing w:line="360" w:lineRule="auto"/>
        <w:ind w:firstLine="640" w:firstLineChars="200"/>
        <w:rPr>
          <w:rFonts w:ascii="Arial Narrow" w:hAnsi="Arial Narrow" w:eastAsia="仿宋_GB2312" w:cs="宋体"/>
          <w:color w:val="auto"/>
          <w:sz w:val="32"/>
          <w:szCs w:val="32"/>
        </w:rPr>
      </w:pPr>
      <w:r>
        <w:rPr>
          <w:rFonts w:hint="eastAsia" w:ascii="Arial Narrow" w:hAnsi="Arial Narrow" w:eastAsia="仿宋_GB2312" w:cs="宋体"/>
          <w:color w:val="auto"/>
          <w:sz w:val="32"/>
          <w:szCs w:val="32"/>
        </w:rPr>
        <w:t>仲裁结果由申诉人签收，不能代收，如在约定时间和地点申诉人离开，视为自行放弃申诉。申诉方可随时提出放弃申诉。申诉方必须提供真实的申诉信息并严格遵守申诉程序，不得扰乱赛场秩序。</w:t>
      </w:r>
    </w:p>
    <w:p>
      <w:pPr>
        <w:spacing w:line="360" w:lineRule="auto"/>
        <w:ind w:firstLine="640" w:firstLineChars="200"/>
        <w:rPr>
          <w:rFonts w:ascii="Arial Narrow" w:hAnsi="Arial Narrow" w:eastAsia="仿宋_GB2312" w:cs="宋体"/>
          <w:color w:val="auto"/>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240E83-507F-44B2-B22B-2505B0A7F7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0EAC67E-9E88-429D-B7BA-9FD055055A86}"/>
  </w:font>
  <w:font w:name="仿宋_GB2312">
    <w:panose1 w:val="02010609030101010101"/>
    <w:charset w:val="86"/>
    <w:family w:val="modern"/>
    <w:pitch w:val="default"/>
    <w:sig w:usb0="00000001" w:usb1="080E0000" w:usb2="00000000" w:usb3="00000000" w:csb0="00040000" w:csb1="00000000"/>
    <w:embedRegular r:id="rId3" w:fontKey="{2729D269-3BED-48EB-8F84-8C8BD7726262}"/>
  </w:font>
  <w:font w:name="Arial Narrow">
    <w:panose1 w:val="020B0606020202030204"/>
    <w:charset w:val="00"/>
    <w:family w:val="swiss"/>
    <w:pitch w:val="default"/>
    <w:sig w:usb0="00000287" w:usb1="00000800" w:usb2="00000000" w:usb3="00000000" w:csb0="2000009F" w:csb1="DFD70000"/>
    <w:embedRegular r:id="rId4" w:fontKey="{19AADCFB-75C2-4BF3-92F5-4BB3FED04223}"/>
  </w:font>
  <w:font w:name="等线">
    <w:panose1 w:val="02010600030101010101"/>
    <w:charset w:val="86"/>
    <w:family w:val="auto"/>
    <w:pitch w:val="default"/>
    <w:sig w:usb0="A00002BF" w:usb1="38CF7CFA" w:usb2="00000016" w:usb3="00000000" w:csb0="0004000F" w:csb1="00000000"/>
    <w:embedRegular r:id="rId5" w:fontKey="{A8F71617-D3B4-42B1-9FD1-D3EC56AA5636}"/>
  </w:font>
  <w:font w:name="仿宋">
    <w:panose1 w:val="02010609060101010101"/>
    <w:charset w:val="86"/>
    <w:family w:val="auto"/>
    <w:pitch w:val="default"/>
    <w:sig w:usb0="800002BF" w:usb1="38CF7CFA" w:usb2="00000016" w:usb3="00000000" w:csb0="00040001" w:csb1="00000000"/>
    <w:embedRegular r:id="rId6" w:fontKey="{6AAE0E68-E3AE-43A5-B532-5D457ABD321D}"/>
  </w:font>
  <w:font w:name="方正小标宋简体">
    <w:panose1 w:val="02000000000000000000"/>
    <w:charset w:val="86"/>
    <w:family w:val="auto"/>
    <w:pitch w:val="default"/>
    <w:sig w:usb0="00000001" w:usb1="080E0000" w:usb2="00000000" w:usb3="00000000" w:csb0="00040000" w:csb1="00000000"/>
    <w:embedRegular r:id="rId7" w:fontKey="{5F0A0276-9BED-423C-AAA1-23A3080CC882}"/>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098"/>
      <w:rPr>
        <w:rFonts w:eastAsia="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C7EA54"/>
    <w:multiLevelType w:val="singleLevel"/>
    <w:tmpl w:val="38C7EA54"/>
    <w:lvl w:ilvl="0" w:tentative="0">
      <w:start w:val="3"/>
      <w:numFmt w:val="chineseCounting"/>
      <w:suff w:val="nothing"/>
      <w:lvlText w:val="（%1）"/>
      <w:lvlJc w:val="left"/>
      <w:rPr>
        <w:rFonts w:hint="eastAsia"/>
      </w:rPr>
    </w:lvl>
  </w:abstractNum>
  <w:abstractNum w:abstractNumId="1">
    <w:nsid w:val="59349E43"/>
    <w:multiLevelType w:val="singleLevel"/>
    <w:tmpl w:val="59349E43"/>
    <w:lvl w:ilvl="0" w:tentative="0">
      <w:start w:val="4"/>
      <w:numFmt w:val="chineseCounting"/>
      <w:suff w:val="nothing"/>
      <w:lvlText w:val="（%1）"/>
      <w:lvlJc w:val="left"/>
      <w:rPr>
        <w:rFonts w:hint="eastAsia"/>
      </w:rPr>
    </w:lvl>
  </w:abstractNum>
  <w:abstractNum w:abstractNumId="2">
    <w:nsid w:val="77DDC852"/>
    <w:multiLevelType w:val="singleLevel"/>
    <w:tmpl w:val="77DDC852"/>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mODhhMjg2YWFiZDVjMDc3M2Y4ZmVlMzBjOTEwYmUifQ=="/>
    <w:docVar w:name="KSO_WPS_MARK_KEY" w:val="2757f44b-f576-43fe-96b8-c05e0c09abef"/>
  </w:docVars>
  <w:rsids>
    <w:rsidRoot w:val="6EE30F8C"/>
    <w:rsid w:val="00094D25"/>
    <w:rsid w:val="002207CB"/>
    <w:rsid w:val="00650894"/>
    <w:rsid w:val="007961CF"/>
    <w:rsid w:val="00805FFB"/>
    <w:rsid w:val="00847DE1"/>
    <w:rsid w:val="00C865AA"/>
    <w:rsid w:val="01987FE8"/>
    <w:rsid w:val="01BA61B0"/>
    <w:rsid w:val="01E817C8"/>
    <w:rsid w:val="02355837"/>
    <w:rsid w:val="024F2E2F"/>
    <w:rsid w:val="02FE20CD"/>
    <w:rsid w:val="0371289F"/>
    <w:rsid w:val="041A1188"/>
    <w:rsid w:val="04293179"/>
    <w:rsid w:val="043221CA"/>
    <w:rsid w:val="04800CEC"/>
    <w:rsid w:val="04ED57DF"/>
    <w:rsid w:val="067A7CBC"/>
    <w:rsid w:val="06B238FA"/>
    <w:rsid w:val="078F3462"/>
    <w:rsid w:val="080C0DE8"/>
    <w:rsid w:val="082C148A"/>
    <w:rsid w:val="086D5D96"/>
    <w:rsid w:val="08902604"/>
    <w:rsid w:val="08BB162C"/>
    <w:rsid w:val="09167A44"/>
    <w:rsid w:val="098762A7"/>
    <w:rsid w:val="098F7F23"/>
    <w:rsid w:val="09B3393E"/>
    <w:rsid w:val="09D92F4C"/>
    <w:rsid w:val="09F61D50"/>
    <w:rsid w:val="0A3D797F"/>
    <w:rsid w:val="0A3F036A"/>
    <w:rsid w:val="0A454A85"/>
    <w:rsid w:val="0AEE1250"/>
    <w:rsid w:val="0B09160F"/>
    <w:rsid w:val="0DE41629"/>
    <w:rsid w:val="0F1B78F5"/>
    <w:rsid w:val="0FD8479E"/>
    <w:rsid w:val="100320A1"/>
    <w:rsid w:val="108628B1"/>
    <w:rsid w:val="109C4CD3"/>
    <w:rsid w:val="10BE733F"/>
    <w:rsid w:val="11FC011F"/>
    <w:rsid w:val="11FC66F4"/>
    <w:rsid w:val="12555A81"/>
    <w:rsid w:val="12880467"/>
    <w:rsid w:val="12D9220E"/>
    <w:rsid w:val="130354DD"/>
    <w:rsid w:val="13782E72"/>
    <w:rsid w:val="139F6FB4"/>
    <w:rsid w:val="141C6857"/>
    <w:rsid w:val="14236895"/>
    <w:rsid w:val="144B713C"/>
    <w:rsid w:val="149A3C1F"/>
    <w:rsid w:val="153F2DD3"/>
    <w:rsid w:val="15CA22E2"/>
    <w:rsid w:val="15D373E9"/>
    <w:rsid w:val="161F3D65"/>
    <w:rsid w:val="162E6BAE"/>
    <w:rsid w:val="16B8213B"/>
    <w:rsid w:val="173E5509"/>
    <w:rsid w:val="1750188B"/>
    <w:rsid w:val="17A10E21"/>
    <w:rsid w:val="17A76437"/>
    <w:rsid w:val="17F214CD"/>
    <w:rsid w:val="186C4DA9"/>
    <w:rsid w:val="18C80D5B"/>
    <w:rsid w:val="18E03B9D"/>
    <w:rsid w:val="192F4936"/>
    <w:rsid w:val="1A2024D1"/>
    <w:rsid w:val="1A587EBD"/>
    <w:rsid w:val="1A9A04D5"/>
    <w:rsid w:val="1AC93B39"/>
    <w:rsid w:val="1AE14356"/>
    <w:rsid w:val="1B6C70AB"/>
    <w:rsid w:val="1B9E5DA3"/>
    <w:rsid w:val="1C102855"/>
    <w:rsid w:val="1CC161ED"/>
    <w:rsid w:val="1DBD6FDF"/>
    <w:rsid w:val="1E0A7720"/>
    <w:rsid w:val="1E62755C"/>
    <w:rsid w:val="1E894AE9"/>
    <w:rsid w:val="1EC26DF6"/>
    <w:rsid w:val="1F0D4B93"/>
    <w:rsid w:val="1F2E743E"/>
    <w:rsid w:val="1F43738D"/>
    <w:rsid w:val="1FD96B3A"/>
    <w:rsid w:val="204607B7"/>
    <w:rsid w:val="20605D1D"/>
    <w:rsid w:val="20E93F65"/>
    <w:rsid w:val="2141463E"/>
    <w:rsid w:val="2181419D"/>
    <w:rsid w:val="21894E00"/>
    <w:rsid w:val="21AE54EA"/>
    <w:rsid w:val="22275D7A"/>
    <w:rsid w:val="22A46395"/>
    <w:rsid w:val="23D42ED9"/>
    <w:rsid w:val="23DA7B95"/>
    <w:rsid w:val="23DF2945"/>
    <w:rsid w:val="24523D08"/>
    <w:rsid w:val="24C20A27"/>
    <w:rsid w:val="251F61A7"/>
    <w:rsid w:val="25463D14"/>
    <w:rsid w:val="26217CFD"/>
    <w:rsid w:val="264F614E"/>
    <w:rsid w:val="267047E0"/>
    <w:rsid w:val="26A83F7A"/>
    <w:rsid w:val="277E3201"/>
    <w:rsid w:val="27D03788"/>
    <w:rsid w:val="281832C7"/>
    <w:rsid w:val="283A50A6"/>
    <w:rsid w:val="28985979"/>
    <w:rsid w:val="28AE6232"/>
    <w:rsid w:val="2AC86999"/>
    <w:rsid w:val="2AE92B5B"/>
    <w:rsid w:val="2B3C0931"/>
    <w:rsid w:val="2B935AED"/>
    <w:rsid w:val="2BB10AA4"/>
    <w:rsid w:val="2BC016DD"/>
    <w:rsid w:val="2C714E0E"/>
    <w:rsid w:val="2CAB397F"/>
    <w:rsid w:val="2CB25B52"/>
    <w:rsid w:val="2CEA2DD0"/>
    <w:rsid w:val="2D4E67CC"/>
    <w:rsid w:val="2D9A7DB7"/>
    <w:rsid w:val="2E6D1021"/>
    <w:rsid w:val="2E9D2FCC"/>
    <w:rsid w:val="2EFC1307"/>
    <w:rsid w:val="2F224C32"/>
    <w:rsid w:val="2F5C380D"/>
    <w:rsid w:val="2F713A8C"/>
    <w:rsid w:val="31010E56"/>
    <w:rsid w:val="310426F5"/>
    <w:rsid w:val="31774C75"/>
    <w:rsid w:val="31FB3AF8"/>
    <w:rsid w:val="325C118C"/>
    <w:rsid w:val="326F3536"/>
    <w:rsid w:val="32821B23"/>
    <w:rsid w:val="33A41147"/>
    <w:rsid w:val="33BC1065"/>
    <w:rsid w:val="346911EC"/>
    <w:rsid w:val="35831E3A"/>
    <w:rsid w:val="35BE7316"/>
    <w:rsid w:val="35C67F79"/>
    <w:rsid w:val="35C83CF1"/>
    <w:rsid w:val="35F72828"/>
    <w:rsid w:val="361E2AEF"/>
    <w:rsid w:val="36527A5E"/>
    <w:rsid w:val="36721EAF"/>
    <w:rsid w:val="36B129D7"/>
    <w:rsid w:val="36D8690C"/>
    <w:rsid w:val="36E47915"/>
    <w:rsid w:val="3720190B"/>
    <w:rsid w:val="37FB79E9"/>
    <w:rsid w:val="3857135C"/>
    <w:rsid w:val="38DE104F"/>
    <w:rsid w:val="39735CF1"/>
    <w:rsid w:val="39BD1052"/>
    <w:rsid w:val="39F2758E"/>
    <w:rsid w:val="39F4082E"/>
    <w:rsid w:val="3A06303A"/>
    <w:rsid w:val="3A8F050A"/>
    <w:rsid w:val="3ADB432B"/>
    <w:rsid w:val="3B077069"/>
    <w:rsid w:val="3B3B31B7"/>
    <w:rsid w:val="3B5E2A01"/>
    <w:rsid w:val="3C6A5B02"/>
    <w:rsid w:val="3C6E3934"/>
    <w:rsid w:val="3C8B7826"/>
    <w:rsid w:val="3DE713D4"/>
    <w:rsid w:val="3E921E2F"/>
    <w:rsid w:val="3EEA4CD8"/>
    <w:rsid w:val="3EFE0783"/>
    <w:rsid w:val="3F3A2E34"/>
    <w:rsid w:val="3F5E3F5D"/>
    <w:rsid w:val="3FDB5FE8"/>
    <w:rsid w:val="40B73FA5"/>
    <w:rsid w:val="418F1B67"/>
    <w:rsid w:val="42507548"/>
    <w:rsid w:val="428345DD"/>
    <w:rsid w:val="428E62C2"/>
    <w:rsid w:val="438C0A54"/>
    <w:rsid w:val="43C04259"/>
    <w:rsid w:val="44274953"/>
    <w:rsid w:val="449657B8"/>
    <w:rsid w:val="44B2193F"/>
    <w:rsid w:val="44BA339E"/>
    <w:rsid w:val="454D53AE"/>
    <w:rsid w:val="458F552D"/>
    <w:rsid w:val="46410A64"/>
    <w:rsid w:val="46DF2945"/>
    <w:rsid w:val="46F74436"/>
    <w:rsid w:val="47B83D70"/>
    <w:rsid w:val="49A34795"/>
    <w:rsid w:val="4A631F37"/>
    <w:rsid w:val="4ABF429D"/>
    <w:rsid w:val="4AE72D04"/>
    <w:rsid w:val="4B957378"/>
    <w:rsid w:val="4BA95F1B"/>
    <w:rsid w:val="4BD46EDC"/>
    <w:rsid w:val="4C5639AD"/>
    <w:rsid w:val="4CBB6E99"/>
    <w:rsid w:val="4CEF5BAF"/>
    <w:rsid w:val="4D4B54DB"/>
    <w:rsid w:val="4D7F6F33"/>
    <w:rsid w:val="4D9F1383"/>
    <w:rsid w:val="4DD52FF7"/>
    <w:rsid w:val="4E3A10AC"/>
    <w:rsid w:val="4EB15812"/>
    <w:rsid w:val="4F455195"/>
    <w:rsid w:val="4F8627FB"/>
    <w:rsid w:val="4FA9473B"/>
    <w:rsid w:val="4FAC7D88"/>
    <w:rsid w:val="4FE65048"/>
    <w:rsid w:val="504A3E5F"/>
    <w:rsid w:val="504E6947"/>
    <w:rsid w:val="505F7455"/>
    <w:rsid w:val="50BB2978"/>
    <w:rsid w:val="51181B78"/>
    <w:rsid w:val="51C95301"/>
    <w:rsid w:val="51EB103B"/>
    <w:rsid w:val="52062D75"/>
    <w:rsid w:val="523617C5"/>
    <w:rsid w:val="526F3A1A"/>
    <w:rsid w:val="529A1DB5"/>
    <w:rsid w:val="52A4684C"/>
    <w:rsid w:val="53594BCE"/>
    <w:rsid w:val="537506AF"/>
    <w:rsid w:val="53C34FEB"/>
    <w:rsid w:val="54556C40"/>
    <w:rsid w:val="54BF3CA9"/>
    <w:rsid w:val="55032FC6"/>
    <w:rsid w:val="55992B5C"/>
    <w:rsid w:val="55A22C65"/>
    <w:rsid w:val="55C93441"/>
    <w:rsid w:val="56CE6835"/>
    <w:rsid w:val="570631AA"/>
    <w:rsid w:val="57D53DC9"/>
    <w:rsid w:val="583A6878"/>
    <w:rsid w:val="587C0C3F"/>
    <w:rsid w:val="589E2654"/>
    <w:rsid w:val="58DC4199"/>
    <w:rsid w:val="591B0458"/>
    <w:rsid w:val="596F4300"/>
    <w:rsid w:val="59D2488F"/>
    <w:rsid w:val="5ADF7263"/>
    <w:rsid w:val="5B7C6372"/>
    <w:rsid w:val="5BC07095"/>
    <w:rsid w:val="5C4946BC"/>
    <w:rsid w:val="5C9F314E"/>
    <w:rsid w:val="5CF138A4"/>
    <w:rsid w:val="5D213B63"/>
    <w:rsid w:val="5DD230AF"/>
    <w:rsid w:val="5E0570E5"/>
    <w:rsid w:val="5E423774"/>
    <w:rsid w:val="5F4B136B"/>
    <w:rsid w:val="60161979"/>
    <w:rsid w:val="601E2BFB"/>
    <w:rsid w:val="60475DD8"/>
    <w:rsid w:val="60B15887"/>
    <w:rsid w:val="610C0686"/>
    <w:rsid w:val="611F5A6A"/>
    <w:rsid w:val="616D381B"/>
    <w:rsid w:val="617E307C"/>
    <w:rsid w:val="61A00AF7"/>
    <w:rsid w:val="61E6570C"/>
    <w:rsid w:val="622E092B"/>
    <w:rsid w:val="62353C0D"/>
    <w:rsid w:val="626E2893"/>
    <w:rsid w:val="628F5A13"/>
    <w:rsid w:val="630C0E11"/>
    <w:rsid w:val="636F7E79"/>
    <w:rsid w:val="643A4798"/>
    <w:rsid w:val="667E5B82"/>
    <w:rsid w:val="66C043ED"/>
    <w:rsid w:val="67597CD2"/>
    <w:rsid w:val="67680346"/>
    <w:rsid w:val="67941A60"/>
    <w:rsid w:val="67D143D7"/>
    <w:rsid w:val="68142C42"/>
    <w:rsid w:val="68312007"/>
    <w:rsid w:val="68EF720B"/>
    <w:rsid w:val="68FC5484"/>
    <w:rsid w:val="698931BC"/>
    <w:rsid w:val="69A753F0"/>
    <w:rsid w:val="69F67CF7"/>
    <w:rsid w:val="6A8D7D64"/>
    <w:rsid w:val="6AAC6982"/>
    <w:rsid w:val="6AE01DFC"/>
    <w:rsid w:val="6AED4F08"/>
    <w:rsid w:val="6B5477F9"/>
    <w:rsid w:val="6B597A22"/>
    <w:rsid w:val="6B8462B4"/>
    <w:rsid w:val="6BE56D52"/>
    <w:rsid w:val="6C031950"/>
    <w:rsid w:val="6C7779CD"/>
    <w:rsid w:val="6CD553A6"/>
    <w:rsid w:val="6D8A4971"/>
    <w:rsid w:val="6DEC5AC7"/>
    <w:rsid w:val="6E414065"/>
    <w:rsid w:val="6E69536A"/>
    <w:rsid w:val="6ECB7DD2"/>
    <w:rsid w:val="6EE30F8C"/>
    <w:rsid w:val="6F0137F4"/>
    <w:rsid w:val="6FD45681"/>
    <w:rsid w:val="6FD74555"/>
    <w:rsid w:val="6FFE01C5"/>
    <w:rsid w:val="71780344"/>
    <w:rsid w:val="71C74FFD"/>
    <w:rsid w:val="71F279B9"/>
    <w:rsid w:val="72200435"/>
    <w:rsid w:val="72367515"/>
    <w:rsid w:val="725F7E1F"/>
    <w:rsid w:val="72A42E14"/>
    <w:rsid w:val="72BC25F0"/>
    <w:rsid w:val="72DB3227"/>
    <w:rsid w:val="731004AA"/>
    <w:rsid w:val="742D00F4"/>
    <w:rsid w:val="74373814"/>
    <w:rsid w:val="74C90910"/>
    <w:rsid w:val="7516167C"/>
    <w:rsid w:val="7526749D"/>
    <w:rsid w:val="75BE243F"/>
    <w:rsid w:val="763B75EC"/>
    <w:rsid w:val="76D10E1C"/>
    <w:rsid w:val="770519A8"/>
    <w:rsid w:val="77637B37"/>
    <w:rsid w:val="7765149C"/>
    <w:rsid w:val="77664908"/>
    <w:rsid w:val="77784870"/>
    <w:rsid w:val="779436DE"/>
    <w:rsid w:val="779571D0"/>
    <w:rsid w:val="77C81353"/>
    <w:rsid w:val="77DC4DFE"/>
    <w:rsid w:val="780D6D66"/>
    <w:rsid w:val="7826303F"/>
    <w:rsid w:val="78B732AA"/>
    <w:rsid w:val="78BB0EB8"/>
    <w:rsid w:val="790247D0"/>
    <w:rsid w:val="7A6E2730"/>
    <w:rsid w:val="7AC50D5A"/>
    <w:rsid w:val="7AF570C9"/>
    <w:rsid w:val="7B054C06"/>
    <w:rsid w:val="7BA4502E"/>
    <w:rsid w:val="7CBB1486"/>
    <w:rsid w:val="7D012C11"/>
    <w:rsid w:val="7D6C741B"/>
    <w:rsid w:val="7E1D3A7B"/>
    <w:rsid w:val="7E702648"/>
    <w:rsid w:val="7F2A28F3"/>
    <w:rsid w:val="7F8F2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styleId="8">
    <w:name w:val="List Paragraph"/>
    <w:basedOn w:val="1"/>
    <w:qFormat/>
    <w:uiPriority w:val="1"/>
    <w:pPr>
      <w:ind w:left="260" w:firstLine="559"/>
    </w:pPr>
    <w:rPr>
      <w:rFonts w:ascii="仿宋_GB2312" w:hAnsi="仿宋_GB2312" w:eastAsia="仿宋_GB2312" w:cs="仿宋_GB231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8243</Words>
  <Characters>8532</Characters>
  <Lines>82</Lines>
  <Paragraphs>23</Paragraphs>
  <TotalTime>21</TotalTime>
  <ScaleCrop>false</ScaleCrop>
  <LinksUpToDate>false</LinksUpToDate>
  <CharactersWithSpaces>8532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2021-11-22T08:01:00Z</dcterms:created>
  <dc:creator>Prinia</dc:creator>
  <cp:lastModifiedBy>王不留行。</cp:lastModifiedBy>
  <dcterms:modified xsi:type="dcterms:W3CDTF">2024-11-07T06:53:59Z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DFE416472A574E3D9CDA5779A6E91D1F_13</vt:lpwstr>
  </property>
</Properties>
</file>