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ascii="Arial"/>
          <w:color w:val="auto"/>
          <w:sz w:val="21"/>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ascii="微软雅黑" w:hAnsi="微软雅黑" w:eastAsia="微软雅黑" w:cs="微软雅黑"/>
          <w:color w:val="auto"/>
          <w:spacing w:val="3"/>
          <w:sz w:val="44"/>
          <w:szCs w:val="44"/>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ascii="微软雅黑" w:hAnsi="微软雅黑" w:eastAsia="微软雅黑" w:cs="微软雅黑"/>
          <w:color w:val="auto"/>
          <w:spacing w:val="3"/>
          <w:sz w:val="44"/>
          <w:szCs w:val="44"/>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ascii="微软雅黑" w:hAnsi="微软雅黑" w:eastAsia="微软雅黑" w:cs="微软雅黑"/>
          <w:color w:val="auto"/>
          <w:spacing w:val="3"/>
          <w:sz w:val="44"/>
          <w:szCs w:val="44"/>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ascii="微软雅黑" w:hAnsi="微软雅黑" w:eastAsia="微软雅黑" w:cs="微软雅黑"/>
          <w:color w:val="auto"/>
          <w:sz w:val="44"/>
          <w:szCs w:val="44"/>
        </w:rPr>
      </w:pPr>
      <w:r>
        <w:rPr>
          <w:rFonts w:ascii="微软雅黑" w:hAnsi="微软雅黑" w:eastAsia="微软雅黑" w:cs="微软雅黑"/>
          <w:color w:val="auto"/>
          <w:spacing w:val="3"/>
          <w:sz w:val="44"/>
          <w:szCs w:val="44"/>
        </w:rPr>
        <w:t>202</w:t>
      </w:r>
      <w:r>
        <w:rPr>
          <w:rFonts w:hint="eastAsia" w:ascii="微软雅黑" w:hAnsi="微软雅黑" w:eastAsia="微软雅黑" w:cs="微软雅黑"/>
          <w:color w:val="auto"/>
          <w:spacing w:val="3"/>
          <w:sz w:val="44"/>
          <w:szCs w:val="44"/>
          <w:lang w:val="en-US" w:eastAsia="zh-CN"/>
        </w:rPr>
        <w:t>4</w:t>
      </w:r>
      <w:r>
        <w:rPr>
          <w:rFonts w:ascii="微软雅黑" w:hAnsi="微软雅黑" w:eastAsia="微软雅黑" w:cs="微软雅黑"/>
          <w:color w:val="auto"/>
          <w:spacing w:val="3"/>
          <w:sz w:val="44"/>
          <w:szCs w:val="44"/>
        </w:rPr>
        <w:t>年</w:t>
      </w:r>
      <w:r>
        <w:rPr>
          <w:rFonts w:hint="eastAsia" w:ascii="微软雅黑" w:hAnsi="微软雅黑" w:eastAsia="微软雅黑" w:cs="微软雅黑"/>
          <w:color w:val="auto"/>
          <w:spacing w:val="3"/>
          <w:sz w:val="44"/>
          <w:szCs w:val="44"/>
          <w:lang w:val="en-US" w:eastAsia="zh-CN"/>
        </w:rPr>
        <w:t>甘肃</w:t>
      </w:r>
      <w:r>
        <w:rPr>
          <w:rFonts w:ascii="微软雅黑" w:hAnsi="微软雅黑" w:eastAsia="微软雅黑" w:cs="微软雅黑"/>
          <w:color w:val="auto"/>
          <w:spacing w:val="3"/>
          <w:sz w:val="44"/>
          <w:szCs w:val="44"/>
        </w:rPr>
        <w:t>省职业院校学生技能大赛</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ascii="微软雅黑" w:hAnsi="微软雅黑" w:eastAsia="微软雅黑" w:cs="微软雅黑"/>
          <w:color w:val="auto"/>
          <w:spacing w:val="-10"/>
          <w:w w:val="93"/>
          <w:position w:val="-2"/>
          <w:sz w:val="50"/>
          <w:szCs w:val="50"/>
        </w:rPr>
      </w:pPr>
      <w:r>
        <w:rPr>
          <w:rFonts w:ascii="微软雅黑" w:hAnsi="微软雅黑" w:eastAsia="微软雅黑" w:cs="微软雅黑"/>
          <w:color w:val="auto"/>
          <w:spacing w:val="-10"/>
          <w:w w:val="93"/>
          <w:position w:val="-2"/>
          <w:sz w:val="50"/>
          <w:szCs w:val="50"/>
        </w:rPr>
        <w:t>装配式建筑</w:t>
      </w:r>
      <w:r>
        <w:rPr>
          <w:rFonts w:hint="eastAsia" w:ascii="微软雅黑" w:hAnsi="微软雅黑" w:eastAsia="微软雅黑" w:cs="微软雅黑"/>
          <w:color w:val="auto"/>
          <w:spacing w:val="-10"/>
          <w:w w:val="93"/>
          <w:position w:val="-2"/>
          <w:sz w:val="50"/>
          <w:szCs w:val="50"/>
          <w:lang w:val="en-US" w:eastAsia="zh-CN"/>
        </w:rPr>
        <w:t>构件安装</w:t>
      </w:r>
      <w:r>
        <w:rPr>
          <w:rFonts w:ascii="微软雅黑" w:hAnsi="微软雅黑" w:eastAsia="微软雅黑" w:cs="微软雅黑"/>
          <w:color w:val="auto"/>
          <w:spacing w:val="-10"/>
          <w:w w:val="93"/>
          <w:position w:val="-2"/>
          <w:sz w:val="50"/>
          <w:szCs w:val="50"/>
        </w:rPr>
        <w:t>赛项</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ascii="微软雅黑" w:hAnsi="微软雅黑" w:eastAsia="微软雅黑" w:cs="微软雅黑"/>
          <w:color w:val="auto"/>
          <w:sz w:val="50"/>
          <w:szCs w:val="50"/>
        </w:rPr>
      </w:pPr>
      <w:r>
        <w:rPr>
          <w:rFonts w:ascii="微软雅黑" w:hAnsi="微软雅黑" w:eastAsia="微软雅黑" w:cs="微软雅黑"/>
          <w:color w:val="auto"/>
          <w:spacing w:val="-10"/>
          <w:w w:val="93"/>
          <w:position w:val="-2"/>
          <w:sz w:val="50"/>
          <w:szCs w:val="50"/>
        </w:rPr>
        <w:t>竞赛规程</w:t>
      </w:r>
    </w:p>
    <w:p>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ascii="Arial"/>
          <w:color w:val="auto"/>
          <w:sz w:val="21"/>
        </w:rPr>
      </w:pPr>
    </w:p>
    <w:p>
      <w:pPr>
        <w:rPr>
          <w:rFonts w:ascii="微软雅黑" w:hAnsi="微软雅黑" w:eastAsia="微软雅黑" w:cs="微软雅黑"/>
          <w:color w:val="auto"/>
          <w:spacing w:val="2"/>
          <w:sz w:val="30"/>
          <w:szCs w:val="30"/>
        </w:rPr>
      </w:pPr>
      <w:r>
        <w:rPr>
          <w:rFonts w:ascii="微软雅黑" w:hAnsi="微软雅黑" w:eastAsia="微软雅黑" w:cs="微软雅黑"/>
          <w:color w:val="auto"/>
          <w:spacing w:val="2"/>
          <w:sz w:val="30"/>
          <w:szCs w:val="30"/>
        </w:rPr>
        <w:br w:type="page"/>
      </w:r>
    </w:p>
    <w:p>
      <w:pPr>
        <w:keepNext w:val="0"/>
        <w:keepLines w:val="0"/>
        <w:pageBreakBefore w:val="0"/>
        <w:widowControl/>
        <w:kinsoku w:val="0"/>
        <w:wordWrap/>
        <w:overflowPunct/>
        <w:topLinePunct w:val="0"/>
        <w:autoSpaceDE w:val="0"/>
        <w:autoSpaceDN w:val="0"/>
        <w:bidi w:val="0"/>
        <w:adjustRightInd w:val="0"/>
        <w:snapToGrid w:val="0"/>
        <w:spacing w:line="360" w:lineRule="auto"/>
        <w:ind w:left="15"/>
        <w:jc w:val="left"/>
        <w:textAlignment w:val="baseline"/>
        <w:outlineLvl w:val="0"/>
        <w:rPr>
          <w:rFonts w:ascii="Arial"/>
          <w:color w:val="auto"/>
          <w:sz w:val="21"/>
        </w:rPr>
      </w:pPr>
      <w:r>
        <w:rPr>
          <w:rFonts w:ascii="微软雅黑" w:hAnsi="微软雅黑" w:eastAsia="微软雅黑" w:cs="微软雅黑"/>
          <w:color w:val="auto"/>
          <w:spacing w:val="2"/>
          <w:sz w:val="30"/>
          <w:szCs w:val="30"/>
        </w:rPr>
        <w:t>一、赛项信息</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32"/>
        <w:jc w:val="left"/>
        <w:textAlignment w:val="baseline"/>
        <w:rPr>
          <w:rFonts w:hint="default" w:eastAsia="仿宋"/>
          <w:color w:val="auto"/>
          <w:lang w:val="en-US" w:eastAsia="zh-CN"/>
        </w:rPr>
      </w:pPr>
      <w:r>
        <w:rPr>
          <w:color w:val="auto"/>
          <w:spacing w:val="-3"/>
        </w:rPr>
        <w:t>赛项名称：装配式建筑</w:t>
      </w:r>
      <w:r>
        <w:rPr>
          <w:rFonts w:hint="eastAsia"/>
          <w:color w:val="auto"/>
          <w:spacing w:val="-3"/>
          <w:lang w:val="en-US" w:eastAsia="zh-CN"/>
        </w:rPr>
        <w:t>构件安装</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32"/>
        <w:jc w:val="left"/>
        <w:textAlignment w:val="baseline"/>
        <w:rPr>
          <w:color w:val="auto"/>
        </w:rPr>
      </w:pPr>
      <w:r>
        <w:rPr>
          <w:color w:val="auto"/>
          <w:spacing w:val="-4"/>
        </w:rPr>
        <w:t>赛项组别：</w:t>
      </w:r>
      <w:r>
        <w:rPr>
          <w:rFonts w:hint="eastAsia"/>
          <w:color w:val="auto"/>
          <w:spacing w:val="-4"/>
          <w:lang w:val="en-US" w:eastAsia="zh-CN"/>
        </w:rPr>
        <w:t>中</w:t>
      </w:r>
      <w:r>
        <w:rPr>
          <w:color w:val="auto"/>
          <w:spacing w:val="-4"/>
        </w:rPr>
        <w:t>职组</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45"/>
        <w:jc w:val="left"/>
        <w:textAlignment w:val="baseline"/>
        <w:rPr>
          <w:rFonts w:hint="eastAsia"/>
          <w:color w:val="auto"/>
          <w:spacing w:val="-6"/>
          <w:lang w:val="en-US" w:eastAsia="zh-CN"/>
        </w:rPr>
      </w:pPr>
      <w:r>
        <w:rPr>
          <w:color w:val="auto"/>
          <w:spacing w:val="-6"/>
        </w:rPr>
        <w:t>竞赛形式：</w:t>
      </w:r>
      <w:r>
        <w:rPr>
          <w:rFonts w:hint="eastAsia"/>
          <w:color w:val="auto"/>
          <w:spacing w:val="-6"/>
          <w:lang w:val="en-US" w:eastAsia="zh-CN"/>
        </w:rPr>
        <w:t>师生同赛，2位学生，1位老师</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45"/>
        <w:jc w:val="left"/>
        <w:textAlignment w:val="baseline"/>
        <w:rPr>
          <w:color w:val="auto"/>
        </w:rPr>
      </w:pPr>
      <w:r>
        <w:rPr>
          <w:color w:val="auto"/>
          <w:spacing w:val="-4"/>
        </w:rPr>
        <w:t>竞赛专业大类：土木建筑大类</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8"/>
        <w:jc w:val="left"/>
        <w:textAlignment w:val="baseline"/>
        <w:outlineLvl w:val="0"/>
        <w:rPr>
          <w:rFonts w:ascii="Arial"/>
          <w:color w:val="auto"/>
          <w:sz w:val="21"/>
        </w:rPr>
      </w:pPr>
      <w:r>
        <w:rPr>
          <w:rFonts w:ascii="微软雅黑" w:hAnsi="微软雅黑" w:eastAsia="微软雅黑" w:cs="微软雅黑"/>
          <w:color w:val="auto"/>
          <w:spacing w:val="2"/>
          <w:sz w:val="30"/>
          <w:szCs w:val="30"/>
        </w:rPr>
        <w:t>二、竞赛目标</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79" w:right="45" w:firstLine="531"/>
        <w:jc w:val="left"/>
        <w:textAlignment w:val="baseline"/>
        <w:rPr>
          <w:rFonts w:hint="eastAsia"/>
          <w:color w:val="auto"/>
          <w:spacing w:val="3"/>
        </w:rPr>
      </w:pPr>
      <w:r>
        <w:rPr>
          <w:rFonts w:hint="eastAsia"/>
          <w:color w:val="auto"/>
          <w:spacing w:val="3"/>
        </w:rPr>
        <w:t>本赛项设计聚焦党的二十大“推进工业、建筑、交通等领域清洁低碳转型”精神，对接国家“十四五”规划“发展智能建造、推广绿色建材、装配式建筑和钢结构住宅，建设低碳城市”要求，以服务质量强 国建设、加快建设行业技能人才队伍建设为目标，搭建建筑业转型升级高技能人才队伍建设竞技平台。</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79" w:right="45" w:firstLine="531"/>
        <w:jc w:val="left"/>
        <w:textAlignment w:val="baseline"/>
        <w:rPr>
          <w:rFonts w:ascii="Arial"/>
          <w:color w:val="auto"/>
          <w:sz w:val="21"/>
        </w:rPr>
      </w:pPr>
      <w:r>
        <w:rPr>
          <w:rFonts w:hint="eastAsia"/>
          <w:color w:val="auto"/>
          <w:spacing w:val="3"/>
        </w:rPr>
        <w:t>本赛项采用“师生同赛”的创新型竞赛设计思路，结合装配式建筑构件安装相关岗位对人才的知识、技能、素养要求进行竞赛设计，通过师生组队同台合作、同台竞技的方式来实现以赛促学、以赛促教，共同提高的目的。通过竞赛要求教师不断优化自身专业知识结构、提高自身实践操作水平和理论知识水平，促进课堂教学模式变革和“双师型”教师的培养。通过竞赛考察和培养学生的职业素养、理论功底、实操能力、创新精神、合作意识，提升学生技术技能水平与职业素养，提升专业人才培养质量和市场匹配度，促进学生全面发展，增加学生的就业竞争力，培养适应建筑业转型升级和“新型工业化”所需的一流技术技能人才。同时，通过竞赛推动中等职业学校装配式建筑相关专业的建设和改革，促进职普融通、岗课赛证融通、产教融合、科创融合，满足产教协同育人目标，在全社会营造崇尚技能的氛围。</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8"/>
        <w:jc w:val="left"/>
        <w:textAlignment w:val="baseline"/>
        <w:outlineLvl w:val="0"/>
        <w:rPr>
          <w:rFonts w:ascii="Arial"/>
          <w:color w:val="auto"/>
          <w:sz w:val="21"/>
        </w:rPr>
      </w:pPr>
      <w:r>
        <w:rPr>
          <w:rFonts w:ascii="微软雅黑" w:hAnsi="微软雅黑" w:eastAsia="微软雅黑" w:cs="微软雅黑"/>
          <w:color w:val="auto"/>
          <w:spacing w:val="6"/>
          <w:sz w:val="30"/>
          <w:szCs w:val="30"/>
        </w:rPr>
        <w:t>三、竞赛内容</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36" w:firstLineChars="200"/>
        <w:jc w:val="left"/>
        <w:textAlignment w:val="baseline"/>
        <w:rPr>
          <w:rFonts w:hint="eastAsia" w:eastAsia="仿宋"/>
          <w:color w:val="auto"/>
          <w:spacing w:val="-6"/>
          <w:position w:val="26"/>
          <w:lang w:eastAsia="zh-CN"/>
        </w:rPr>
      </w:pPr>
      <w:r>
        <w:rPr>
          <w:rFonts w:hint="eastAsia"/>
          <w:color w:val="auto"/>
          <w:spacing w:val="-6"/>
          <w:position w:val="26"/>
        </w:rPr>
        <w:t>参赛选手需在规定时间内，独立与合作完成以下两个竞赛模块的任务：装配式建筑理论知识和装配式建筑技能操作</w:t>
      </w:r>
      <w:r>
        <w:rPr>
          <w:rFonts w:hint="eastAsia"/>
          <w:color w:val="auto"/>
          <w:spacing w:val="-6"/>
          <w:position w:val="26"/>
          <w:lang w:eastAsia="zh-CN"/>
        </w:rPr>
        <w:t>。</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52" w:firstLineChars="200"/>
        <w:jc w:val="left"/>
        <w:textAlignment w:val="baseline"/>
        <w:rPr>
          <w:rFonts w:ascii="Arial"/>
          <w:color w:val="auto"/>
          <w:sz w:val="30"/>
          <w:szCs w:val="30"/>
        </w:rPr>
      </w:pPr>
      <w:r>
        <w:rPr>
          <w:rFonts w:ascii="微软雅黑" w:hAnsi="微软雅黑" w:eastAsia="微软雅黑" w:cs="微软雅黑"/>
          <w:color w:val="auto"/>
          <w:spacing w:val="-6"/>
          <w:w w:val="96"/>
          <w:position w:val="-1"/>
          <w:sz w:val="30"/>
          <w:szCs w:val="30"/>
        </w:rPr>
        <w:t>(一)</w:t>
      </w:r>
      <w:r>
        <w:rPr>
          <w:rFonts w:hint="eastAsia" w:ascii="微软雅黑" w:hAnsi="微软雅黑" w:eastAsia="微软雅黑" w:cs="微软雅黑"/>
          <w:color w:val="auto"/>
          <w:spacing w:val="-6"/>
          <w:w w:val="96"/>
          <w:position w:val="-1"/>
          <w:sz w:val="30"/>
          <w:szCs w:val="30"/>
        </w:rPr>
        <w:t>装配式建筑理论知识</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2" w:right="35" w:firstLine="560"/>
        <w:jc w:val="left"/>
        <w:textAlignment w:val="baseline"/>
        <w:rPr>
          <w:rFonts w:hint="eastAsia" w:eastAsia="仿宋"/>
          <w:color w:val="auto"/>
          <w:lang w:eastAsia="zh-CN"/>
        </w:rPr>
      </w:pPr>
      <w:r>
        <w:rPr>
          <w:rFonts w:hint="eastAsia"/>
          <w:color w:val="auto"/>
          <w:spacing w:val="-6"/>
        </w:rPr>
        <w:t>该模块包含装配式建筑理论知识一个任务。通过理论考试平台，检验是否具备装配式建筑理论知识。主要包括国家装配式建筑的政策</w:t>
      </w:r>
      <w:r>
        <w:rPr>
          <w:rFonts w:hint="eastAsia"/>
          <w:color w:val="auto"/>
          <w:spacing w:val="-6"/>
          <w:lang w:eastAsia="zh-CN"/>
        </w:rPr>
        <w:t>、</w:t>
      </w:r>
      <w:r>
        <w:rPr>
          <w:rFonts w:hint="eastAsia"/>
          <w:color w:val="auto"/>
          <w:spacing w:val="-6"/>
        </w:rPr>
        <w:t>发展历程等行业文化基础知识，现行规范与图集，职业道德与职业素养知识，装配式建筑构件与识图等方面的理论知识内容</w:t>
      </w:r>
      <w:r>
        <w:rPr>
          <w:rFonts w:hint="eastAsia"/>
          <w:color w:val="auto"/>
          <w:spacing w:val="-6"/>
          <w:lang w:eastAsia="zh-CN"/>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572" w:firstLineChars="200"/>
        <w:jc w:val="left"/>
        <w:textAlignment w:val="baseline"/>
        <w:outlineLvl w:val="1"/>
        <w:rPr>
          <w:rFonts w:hint="eastAsia" w:ascii="Arial" w:eastAsia="微软雅黑"/>
          <w:color w:val="auto"/>
          <w:sz w:val="30"/>
          <w:szCs w:val="30"/>
          <w:lang w:val="en-US" w:eastAsia="zh-CN"/>
        </w:rPr>
      </w:pPr>
      <w:r>
        <w:rPr>
          <w:rFonts w:ascii="微软雅黑" w:hAnsi="微软雅黑" w:eastAsia="微软雅黑" w:cs="微软雅黑"/>
          <w:color w:val="auto"/>
          <w:spacing w:val="-7"/>
          <w:position w:val="-1"/>
          <w:sz w:val="30"/>
          <w:szCs w:val="30"/>
        </w:rPr>
        <w:t>(二)</w:t>
      </w:r>
      <w:r>
        <w:rPr>
          <w:rFonts w:hint="eastAsia" w:ascii="微软雅黑" w:hAnsi="微软雅黑" w:eastAsia="微软雅黑" w:cs="微软雅黑"/>
          <w:color w:val="auto"/>
          <w:spacing w:val="-7"/>
          <w:position w:val="-1"/>
          <w:sz w:val="30"/>
          <w:szCs w:val="30"/>
        </w:rPr>
        <w:t>装配式建筑技能操作</w:t>
      </w:r>
      <w:r>
        <w:rPr>
          <w:rFonts w:hint="eastAsia" w:ascii="微软雅黑" w:hAnsi="微软雅黑" w:eastAsia="微软雅黑" w:cs="微软雅黑"/>
          <w:color w:val="auto"/>
          <w:spacing w:val="-7"/>
          <w:position w:val="-1"/>
          <w:sz w:val="30"/>
          <w:szCs w:val="30"/>
          <w:lang w:val="en-US" w:eastAsia="zh-CN"/>
        </w:rPr>
        <w:t>模拟</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3" w:right="35" w:firstLine="559"/>
        <w:jc w:val="left"/>
        <w:textAlignment w:val="baseline"/>
        <w:rPr>
          <w:rFonts w:hint="eastAsia"/>
          <w:color w:val="auto"/>
          <w:spacing w:val="-6"/>
        </w:rPr>
      </w:pPr>
      <w:r>
        <w:rPr>
          <w:rFonts w:hint="eastAsia"/>
          <w:color w:val="auto"/>
          <w:spacing w:val="-6"/>
        </w:rPr>
        <w:t>通过虚拟场景完成构件吊装、现浇节点施工和灌浆作业任务操作</w:t>
      </w:r>
      <w:r>
        <w:rPr>
          <w:rFonts w:hint="eastAsia"/>
          <w:color w:val="auto"/>
          <w:spacing w:val="-6"/>
          <w:lang w:eastAsia="zh-CN"/>
        </w:rPr>
        <w:t>。</w:t>
      </w:r>
      <w:r>
        <w:rPr>
          <w:rFonts w:hint="eastAsia"/>
          <w:color w:val="auto"/>
          <w:spacing w:val="-6"/>
        </w:rPr>
        <w:t>对标装配式建筑中构件安装环节，检验是否具备装配式建筑施工技术应用及管理能力。</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3" w:right="35" w:firstLine="559"/>
        <w:jc w:val="left"/>
        <w:textAlignment w:val="baseline"/>
        <w:rPr>
          <w:color w:val="auto"/>
          <w:spacing w:val="-17"/>
        </w:rPr>
      </w:pPr>
      <w:r>
        <w:rPr>
          <w:rFonts w:hint="eastAsia"/>
          <w:color w:val="auto"/>
          <w:spacing w:val="-6"/>
        </w:rPr>
        <w:t>赛项以工程化、实践性、创新型模式进行设计。工程化指基于真实的工作任务、场景、情境设计赛题具体内容；实践性为在仿真实操部分，以实践项目为基础进行交互实操设计；创新型是通过设置虚拟情境，运用新的技术条件或新的技术要求；关注参赛选手的专业技术技能、创新能力、职业素养、团队协作能力等全面发展和可持续发展能力。</w:t>
      </w:r>
    </w:p>
    <w:p>
      <w:pPr>
        <w:bidi w:val="0"/>
        <w:ind w:left="0" w:leftChars="0" w:right="0" w:rightChars="0" w:firstLine="0" w:firstLineChars="0"/>
        <w:jc w:val="center"/>
        <w:rPr>
          <w:rFonts w:hint="eastAsia"/>
          <w:color w:val="auto"/>
          <w:spacing w:val="-16"/>
          <w:lang w:val="en-US" w:eastAsia="zh-CN"/>
        </w:rPr>
      </w:pPr>
      <w:r>
        <w:rPr>
          <w:rFonts w:hint="eastAsia" w:ascii="仿宋" w:hAnsi="仿宋" w:eastAsia="仿宋" w:cs="仿宋"/>
          <w:b/>
          <w:bCs/>
          <w:sz w:val="28"/>
          <w:szCs w:val="28"/>
        </w:rPr>
        <w:t>竞赛模块、任务、比赛时长及权重</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9"/>
        <w:gridCol w:w="3957"/>
        <w:gridCol w:w="850"/>
        <w:gridCol w:w="750"/>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409" w:type="dxa"/>
            <w:vAlign w:val="center"/>
          </w:tcPr>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b/>
                <w:bCs/>
                <w:color w:val="auto"/>
                <w:spacing w:val="-16"/>
                <w:sz w:val="28"/>
                <w:szCs w:val="28"/>
                <w:vertAlign w:val="baseline"/>
                <w:lang w:val="en-US" w:eastAsia="zh-CN"/>
              </w:rPr>
            </w:pPr>
            <w:r>
              <w:rPr>
                <w:rFonts w:hint="eastAsia"/>
                <w:b/>
                <w:bCs/>
                <w:color w:val="auto"/>
                <w:spacing w:val="-16"/>
                <w:sz w:val="28"/>
                <w:szCs w:val="28"/>
                <w:vertAlign w:val="baseline"/>
                <w:lang w:val="en-US" w:eastAsia="zh-CN"/>
              </w:rPr>
              <w:t>竞赛模块</w:t>
            </w:r>
          </w:p>
        </w:tc>
        <w:tc>
          <w:tcPr>
            <w:tcW w:w="3957" w:type="dxa"/>
            <w:vAlign w:val="center"/>
          </w:tcPr>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b/>
                <w:bCs/>
                <w:color w:val="auto"/>
                <w:spacing w:val="-16"/>
                <w:sz w:val="28"/>
                <w:szCs w:val="28"/>
                <w:vertAlign w:val="baseline"/>
                <w:lang w:val="en-US" w:eastAsia="zh-CN"/>
              </w:rPr>
            </w:pPr>
            <w:r>
              <w:rPr>
                <w:rFonts w:hint="eastAsia"/>
                <w:b/>
                <w:bCs/>
                <w:color w:val="auto"/>
                <w:spacing w:val="-16"/>
                <w:sz w:val="28"/>
                <w:szCs w:val="28"/>
                <w:vertAlign w:val="baseline"/>
                <w:lang w:val="en-US" w:eastAsia="zh-CN"/>
              </w:rPr>
              <w:t>主要内容</w:t>
            </w:r>
          </w:p>
        </w:tc>
        <w:tc>
          <w:tcPr>
            <w:tcW w:w="850" w:type="dxa"/>
            <w:vAlign w:val="center"/>
          </w:tcPr>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b/>
                <w:bCs/>
                <w:color w:val="auto"/>
                <w:spacing w:val="-16"/>
                <w:sz w:val="28"/>
                <w:szCs w:val="28"/>
                <w:vertAlign w:val="baseline"/>
                <w:lang w:val="en-US" w:eastAsia="zh-CN"/>
              </w:rPr>
            </w:pPr>
            <w:r>
              <w:rPr>
                <w:rFonts w:hint="eastAsia"/>
                <w:b/>
                <w:bCs/>
                <w:color w:val="auto"/>
                <w:spacing w:val="-16"/>
                <w:sz w:val="28"/>
                <w:szCs w:val="28"/>
                <w:vertAlign w:val="baseline"/>
                <w:lang w:val="en-US" w:eastAsia="zh-CN"/>
              </w:rPr>
              <w:t>任务分值</w:t>
            </w:r>
          </w:p>
        </w:tc>
        <w:tc>
          <w:tcPr>
            <w:tcW w:w="750" w:type="dxa"/>
            <w:vAlign w:val="center"/>
          </w:tcPr>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b/>
                <w:bCs/>
                <w:color w:val="auto"/>
                <w:spacing w:val="-16"/>
                <w:sz w:val="28"/>
                <w:szCs w:val="28"/>
                <w:vertAlign w:val="baseline"/>
                <w:lang w:val="en-US" w:eastAsia="zh-CN"/>
              </w:rPr>
            </w:pPr>
            <w:r>
              <w:rPr>
                <w:rFonts w:hint="eastAsia"/>
                <w:b/>
                <w:bCs/>
                <w:color w:val="auto"/>
                <w:spacing w:val="-16"/>
                <w:sz w:val="28"/>
                <w:szCs w:val="28"/>
                <w:vertAlign w:val="baseline"/>
                <w:lang w:val="en-US" w:eastAsia="zh-CN"/>
              </w:rPr>
              <w:t>模块权重</w:t>
            </w:r>
          </w:p>
        </w:tc>
        <w:tc>
          <w:tcPr>
            <w:tcW w:w="1410" w:type="dxa"/>
            <w:vAlign w:val="center"/>
          </w:tcPr>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b/>
                <w:bCs/>
                <w:color w:val="auto"/>
                <w:spacing w:val="-16"/>
                <w:sz w:val="28"/>
                <w:szCs w:val="28"/>
                <w:vertAlign w:val="baseline"/>
                <w:lang w:val="en-US" w:eastAsia="zh-CN"/>
              </w:rPr>
            </w:pPr>
            <w:r>
              <w:rPr>
                <w:rFonts w:hint="eastAsia"/>
                <w:b/>
                <w:bCs/>
                <w:color w:val="auto"/>
                <w:spacing w:val="-16"/>
                <w:sz w:val="28"/>
                <w:szCs w:val="28"/>
                <w:vertAlign w:val="baseline"/>
                <w:lang w:val="en-US" w:eastAsia="zh-CN"/>
              </w:rPr>
              <w:t>比赛时长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409" w:type="dxa"/>
            <w:vAlign w:val="center"/>
          </w:tcPr>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color w:val="auto"/>
                <w:spacing w:val="-16"/>
                <w:sz w:val="28"/>
                <w:szCs w:val="28"/>
                <w:vertAlign w:val="baseline"/>
                <w:lang w:val="en-US" w:eastAsia="zh-CN"/>
              </w:rPr>
            </w:pPr>
            <w:r>
              <w:rPr>
                <w:rFonts w:hint="eastAsia"/>
                <w:color w:val="auto"/>
                <w:spacing w:val="-16"/>
                <w:sz w:val="28"/>
                <w:szCs w:val="28"/>
                <w:vertAlign w:val="baseline"/>
                <w:lang w:val="en-US" w:eastAsia="zh-CN"/>
              </w:rPr>
              <w:t>模块一</w:t>
            </w:r>
          </w:p>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color w:val="auto"/>
                <w:spacing w:val="-16"/>
                <w:sz w:val="28"/>
                <w:szCs w:val="28"/>
                <w:vertAlign w:val="baseline"/>
                <w:lang w:val="en-US" w:eastAsia="zh-CN"/>
              </w:rPr>
            </w:pPr>
            <w:r>
              <w:rPr>
                <w:rFonts w:hint="eastAsia"/>
                <w:color w:val="auto"/>
                <w:spacing w:val="-16"/>
                <w:sz w:val="28"/>
                <w:szCs w:val="28"/>
                <w:vertAlign w:val="baseline"/>
                <w:lang w:val="en-US" w:eastAsia="zh-CN"/>
              </w:rPr>
              <w:t>理论知识</w:t>
            </w:r>
          </w:p>
        </w:tc>
        <w:tc>
          <w:tcPr>
            <w:tcW w:w="3957" w:type="dxa"/>
            <w:vAlign w:val="center"/>
          </w:tcPr>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left"/>
              <w:textAlignment w:val="baseline"/>
              <w:rPr>
                <w:rFonts w:hint="eastAsia"/>
                <w:color w:val="auto"/>
                <w:spacing w:val="-16"/>
                <w:sz w:val="28"/>
                <w:szCs w:val="28"/>
                <w:vertAlign w:val="baseline"/>
                <w:lang w:val="en-US" w:eastAsia="zh-CN"/>
              </w:rPr>
            </w:pPr>
            <w:r>
              <w:rPr>
                <w:rFonts w:hint="eastAsia"/>
                <w:color w:val="auto"/>
                <w:spacing w:val="-16"/>
                <w:sz w:val="28"/>
                <w:szCs w:val="28"/>
                <w:vertAlign w:val="baseline"/>
                <w:lang w:val="en-US" w:eastAsia="zh-CN"/>
              </w:rPr>
              <w:t>主要包括单选题、多选题和判断题等题型。</w:t>
            </w:r>
          </w:p>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left"/>
              <w:textAlignment w:val="baseline"/>
              <w:rPr>
                <w:rFonts w:hint="default"/>
                <w:color w:val="auto"/>
                <w:spacing w:val="-16"/>
                <w:sz w:val="28"/>
                <w:szCs w:val="28"/>
                <w:vertAlign w:val="baseline"/>
                <w:lang w:val="en-US" w:eastAsia="zh-CN"/>
              </w:rPr>
            </w:pPr>
            <w:r>
              <w:rPr>
                <w:rFonts w:hint="eastAsia"/>
                <w:color w:val="auto"/>
                <w:spacing w:val="-16"/>
                <w:sz w:val="28"/>
                <w:szCs w:val="28"/>
                <w:vertAlign w:val="baseline"/>
                <w:lang w:val="en-US" w:eastAsia="zh-CN"/>
              </w:rPr>
              <w:t>主要出题范围为：国家装配式建筑的政策、发展历程等行业文化基础知识，现行规范与图集，职业道德与职业素养知识。</w:t>
            </w:r>
          </w:p>
        </w:tc>
        <w:tc>
          <w:tcPr>
            <w:tcW w:w="850" w:type="dxa"/>
            <w:vAlign w:val="center"/>
          </w:tcPr>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color w:val="auto"/>
                <w:spacing w:val="-16"/>
                <w:sz w:val="28"/>
                <w:szCs w:val="28"/>
                <w:vertAlign w:val="baseline"/>
                <w:lang w:val="en-US" w:eastAsia="zh-CN"/>
              </w:rPr>
            </w:pPr>
            <w:r>
              <w:rPr>
                <w:rFonts w:hint="eastAsia"/>
                <w:color w:val="auto"/>
                <w:spacing w:val="-16"/>
                <w:sz w:val="28"/>
                <w:szCs w:val="28"/>
                <w:vertAlign w:val="baseline"/>
                <w:lang w:val="en-US" w:eastAsia="zh-CN"/>
              </w:rPr>
              <w:t>100分</w:t>
            </w:r>
          </w:p>
        </w:tc>
        <w:tc>
          <w:tcPr>
            <w:tcW w:w="750" w:type="dxa"/>
            <w:vAlign w:val="center"/>
          </w:tcPr>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color w:val="auto"/>
                <w:spacing w:val="-16"/>
                <w:sz w:val="28"/>
                <w:szCs w:val="28"/>
                <w:vertAlign w:val="baseline"/>
                <w:lang w:val="en-US" w:eastAsia="zh-CN"/>
              </w:rPr>
            </w:pPr>
            <w:r>
              <w:rPr>
                <w:rFonts w:hint="eastAsia"/>
                <w:color w:val="auto"/>
                <w:spacing w:val="-16"/>
                <w:sz w:val="28"/>
                <w:szCs w:val="28"/>
                <w:vertAlign w:val="baseline"/>
                <w:lang w:val="en-US" w:eastAsia="zh-CN"/>
              </w:rPr>
              <w:t>40%</w:t>
            </w:r>
          </w:p>
        </w:tc>
        <w:tc>
          <w:tcPr>
            <w:tcW w:w="1410" w:type="dxa"/>
            <w:vAlign w:val="center"/>
          </w:tcPr>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color w:val="auto"/>
                <w:spacing w:val="-16"/>
                <w:sz w:val="28"/>
                <w:szCs w:val="28"/>
                <w:vertAlign w:val="baseline"/>
                <w:lang w:val="en-US" w:eastAsia="zh-CN"/>
              </w:rPr>
            </w:pPr>
            <w:r>
              <w:rPr>
                <w:rFonts w:hint="eastAsia"/>
                <w:color w:val="auto"/>
                <w:spacing w:val="-16"/>
                <w:sz w:val="28"/>
                <w:szCs w:val="28"/>
                <w:vertAlign w:val="baseline"/>
                <w:lang w:val="en-US" w:eastAsia="zh-CN"/>
              </w:rPr>
              <w:t>60分钟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409" w:type="dxa"/>
            <w:vAlign w:val="center"/>
          </w:tcPr>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color w:val="auto"/>
                <w:spacing w:val="-16"/>
                <w:sz w:val="28"/>
                <w:szCs w:val="28"/>
                <w:vertAlign w:val="baseline"/>
                <w:lang w:val="en-US" w:eastAsia="zh-CN"/>
              </w:rPr>
            </w:pPr>
            <w:r>
              <w:rPr>
                <w:rFonts w:hint="eastAsia"/>
                <w:color w:val="auto"/>
                <w:spacing w:val="-16"/>
                <w:sz w:val="28"/>
                <w:szCs w:val="28"/>
                <w:vertAlign w:val="baseline"/>
                <w:lang w:val="en-US" w:eastAsia="zh-CN"/>
              </w:rPr>
              <w:t>模块二</w:t>
            </w:r>
          </w:p>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color w:val="auto"/>
                <w:spacing w:val="-16"/>
                <w:sz w:val="28"/>
                <w:szCs w:val="28"/>
                <w:vertAlign w:val="baseline"/>
                <w:lang w:val="en-US" w:eastAsia="zh-CN"/>
              </w:rPr>
            </w:pPr>
            <w:r>
              <w:rPr>
                <w:rFonts w:hint="eastAsia"/>
                <w:color w:val="auto"/>
                <w:spacing w:val="-16"/>
                <w:sz w:val="28"/>
                <w:szCs w:val="28"/>
                <w:vertAlign w:val="baseline"/>
                <w:lang w:val="en-US" w:eastAsia="zh-CN"/>
              </w:rPr>
              <w:t>技能实操模拟</w:t>
            </w:r>
          </w:p>
        </w:tc>
        <w:tc>
          <w:tcPr>
            <w:tcW w:w="3957" w:type="dxa"/>
            <w:vAlign w:val="center"/>
          </w:tcPr>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left"/>
              <w:textAlignment w:val="baseline"/>
              <w:rPr>
                <w:rFonts w:hint="default"/>
                <w:color w:val="auto"/>
                <w:spacing w:val="-16"/>
                <w:sz w:val="28"/>
                <w:szCs w:val="28"/>
                <w:vertAlign w:val="baseline"/>
                <w:lang w:val="en-US" w:eastAsia="zh-CN"/>
              </w:rPr>
            </w:pPr>
            <w:r>
              <w:rPr>
                <w:rFonts w:hint="eastAsia"/>
                <w:color w:val="auto"/>
                <w:spacing w:val="-16"/>
                <w:sz w:val="28"/>
                <w:szCs w:val="28"/>
                <w:vertAlign w:val="baseline"/>
                <w:lang w:val="en-US" w:eastAsia="zh-CN"/>
              </w:rPr>
              <w:t>根据竞赛题目要求，完成竖向构件安装、水平构件安装、灌浆作业、现浇节点施工的技能实操考核。</w:t>
            </w:r>
          </w:p>
        </w:tc>
        <w:tc>
          <w:tcPr>
            <w:tcW w:w="850" w:type="dxa"/>
            <w:vAlign w:val="center"/>
          </w:tcPr>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color w:val="auto"/>
                <w:spacing w:val="-16"/>
                <w:sz w:val="28"/>
                <w:szCs w:val="28"/>
                <w:vertAlign w:val="baseline"/>
                <w:lang w:val="en-US" w:eastAsia="zh-CN"/>
              </w:rPr>
            </w:pPr>
            <w:r>
              <w:rPr>
                <w:rFonts w:hint="eastAsia"/>
                <w:color w:val="auto"/>
                <w:spacing w:val="-16"/>
                <w:sz w:val="28"/>
                <w:szCs w:val="28"/>
                <w:vertAlign w:val="baseline"/>
                <w:lang w:val="en-US" w:eastAsia="zh-CN"/>
              </w:rPr>
              <w:t>600分</w:t>
            </w:r>
          </w:p>
        </w:tc>
        <w:tc>
          <w:tcPr>
            <w:tcW w:w="750" w:type="dxa"/>
            <w:vAlign w:val="center"/>
          </w:tcPr>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color w:val="auto"/>
                <w:spacing w:val="-16"/>
                <w:sz w:val="28"/>
                <w:szCs w:val="28"/>
                <w:vertAlign w:val="baseline"/>
                <w:lang w:val="en-US" w:eastAsia="zh-CN"/>
              </w:rPr>
            </w:pPr>
            <w:r>
              <w:rPr>
                <w:rFonts w:hint="eastAsia"/>
                <w:color w:val="auto"/>
                <w:spacing w:val="-16"/>
                <w:sz w:val="28"/>
                <w:szCs w:val="28"/>
                <w:vertAlign w:val="baseline"/>
                <w:lang w:val="en-US" w:eastAsia="zh-CN"/>
              </w:rPr>
              <w:t>60%</w:t>
            </w:r>
          </w:p>
        </w:tc>
        <w:tc>
          <w:tcPr>
            <w:tcW w:w="1410" w:type="dxa"/>
            <w:vAlign w:val="center"/>
          </w:tcPr>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color w:val="auto"/>
                <w:spacing w:val="-16"/>
                <w:sz w:val="28"/>
                <w:szCs w:val="28"/>
                <w:vertAlign w:val="baseline"/>
                <w:lang w:val="en-US" w:eastAsia="zh-CN"/>
              </w:rPr>
            </w:pPr>
            <w:r>
              <w:rPr>
                <w:rFonts w:hint="eastAsia"/>
                <w:color w:val="auto"/>
                <w:spacing w:val="-16"/>
                <w:sz w:val="28"/>
                <w:szCs w:val="28"/>
                <w:vertAlign w:val="baseline"/>
                <w:lang w:val="en-US" w:eastAsia="zh-CN"/>
              </w:rPr>
              <w:t>90分钟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5366" w:type="dxa"/>
            <w:gridSpan w:val="2"/>
            <w:vAlign w:val="center"/>
          </w:tcPr>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color w:val="auto"/>
                <w:spacing w:val="-16"/>
                <w:sz w:val="28"/>
                <w:szCs w:val="28"/>
                <w:vertAlign w:val="baseline"/>
                <w:lang w:val="en-US" w:eastAsia="zh-CN"/>
              </w:rPr>
            </w:pPr>
            <w:r>
              <w:rPr>
                <w:rFonts w:hint="eastAsia"/>
                <w:color w:val="auto"/>
                <w:spacing w:val="-16"/>
                <w:sz w:val="28"/>
                <w:szCs w:val="28"/>
                <w:vertAlign w:val="baseline"/>
                <w:lang w:val="en-US" w:eastAsia="zh-CN"/>
              </w:rPr>
              <w:t>总分</w:t>
            </w:r>
          </w:p>
        </w:tc>
        <w:tc>
          <w:tcPr>
            <w:tcW w:w="850" w:type="dxa"/>
            <w:vAlign w:val="center"/>
          </w:tcPr>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color w:val="auto"/>
                <w:spacing w:val="-16"/>
                <w:sz w:val="28"/>
                <w:szCs w:val="28"/>
                <w:vertAlign w:val="baseline"/>
                <w:lang w:val="en-US" w:eastAsia="zh-CN"/>
              </w:rPr>
            </w:pPr>
          </w:p>
        </w:tc>
        <w:tc>
          <w:tcPr>
            <w:tcW w:w="750" w:type="dxa"/>
            <w:vAlign w:val="center"/>
          </w:tcPr>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color w:val="auto"/>
                <w:spacing w:val="-16"/>
                <w:sz w:val="28"/>
                <w:szCs w:val="28"/>
                <w:vertAlign w:val="baseline"/>
                <w:lang w:val="en-US" w:eastAsia="zh-CN"/>
              </w:rPr>
            </w:pPr>
            <w:r>
              <w:rPr>
                <w:rFonts w:hint="eastAsia"/>
                <w:color w:val="auto"/>
                <w:spacing w:val="-16"/>
                <w:sz w:val="28"/>
                <w:szCs w:val="28"/>
                <w:vertAlign w:val="baseline"/>
                <w:lang w:val="en-US" w:eastAsia="zh-CN"/>
              </w:rPr>
              <w:t>100%</w:t>
            </w:r>
          </w:p>
        </w:tc>
        <w:tc>
          <w:tcPr>
            <w:tcW w:w="1410" w:type="dxa"/>
            <w:vAlign w:val="center"/>
          </w:tcPr>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color w:val="auto"/>
                <w:spacing w:val="-16"/>
                <w:sz w:val="28"/>
                <w:szCs w:val="28"/>
                <w:vertAlign w:val="baseline"/>
                <w:lang w:val="en-US" w:eastAsia="zh-CN"/>
              </w:rPr>
            </w:pPr>
          </w:p>
        </w:tc>
      </w:tr>
    </w:tbl>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jc w:val="both"/>
        <w:textAlignment w:val="baseline"/>
        <w:rPr>
          <w:color w:val="auto"/>
          <w:spacing w:val="-16"/>
        </w:rPr>
      </w:pPr>
    </w:p>
    <w:p>
      <w:pPr>
        <w:rPr>
          <w:rFonts w:ascii="微软雅黑" w:hAnsi="微软雅黑" w:eastAsia="微软雅黑" w:cs="微软雅黑"/>
          <w:color w:val="auto"/>
          <w:spacing w:val="3"/>
          <w:sz w:val="30"/>
          <w:szCs w:val="30"/>
        </w:rPr>
      </w:pPr>
      <w:r>
        <w:rPr>
          <w:rFonts w:ascii="微软雅黑" w:hAnsi="微软雅黑" w:eastAsia="微软雅黑" w:cs="微软雅黑"/>
          <w:color w:val="auto"/>
          <w:spacing w:val="3"/>
          <w:sz w:val="30"/>
          <w:szCs w:val="30"/>
        </w:rPr>
        <w:br w:type="page"/>
      </w:r>
    </w:p>
    <w:p>
      <w:pPr>
        <w:keepNext w:val="0"/>
        <w:keepLines w:val="0"/>
        <w:pageBreakBefore w:val="0"/>
        <w:widowControl/>
        <w:kinsoku w:val="0"/>
        <w:wordWrap/>
        <w:overflowPunct/>
        <w:topLinePunct w:val="0"/>
        <w:autoSpaceDE w:val="0"/>
        <w:autoSpaceDN w:val="0"/>
        <w:bidi w:val="0"/>
        <w:adjustRightInd w:val="0"/>
        <w:snapToGrid w:val="0"/>
        <w:spacing w:line="360" w:lineRule="auto"/>
        <w:ind w:left="134"/>
        <w:jc w:val="left"/>
        <w:textAlignment w:val="baseline"/>
        <w:outlineLvl w:val="0"/>
        <w:rPr>
          <w:rFonts w:ascii="Arial"/>
          <w:color w:val="auto"/>
          <w:sz w:val="21"/>
        </w:rPr>
      </w:pPr>
      <w:r>
        <w:rPr>
          <w:rFonts w:ascii="微软雅黑" w:hAnsi="微软雅黑" w:eastAsia="微软雅黑" w:cs="微软雅黑"/>
          <w:color w:val="auto"/>
          <w:spacing w:val="3"/>
          <w:sz w:val="30"/>
          <w:szCs w:val="30"/>
        </w:rPr>
        <w:t>四、时间安排</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40" w:firstLineChars="200"/>
        <w:jc w:val="left"/>
        <w:textAlignment w:val="baseline"/>
        <w:rPr>
          <w:rFonts w:ascii="微软雅黑" w:hAnsi="微软雅黑" w:eastAsia="微软雅黑" w:cs="微软雅黑"/>
          <w:color w:val="auto"/>
          <w:sz w:val="30"/>
          <w:szCs w:val="30"/>
          <w:highlight w:val="yellow"/>
        </w:rPr>
      </w:pPr>
      <w:r>
        <w:rPr>
          <w:rFonts w:ascii="微软雅黑" w:hAnsi="微软雅黑" w:eastAsia="微软雅黑" w:cs="微软雅黑"/>
          <w:color w:val="auto"/>
          <w:spacing w:val="10"/>
          <w:position w:val="-1"/>
          <w:sz w:val="30"/>
          <w:szCs w:val="30"/>
          <w:highlight w:val="yellow"/>
        </w:rPr>
        <w:t>(一)竞赛时间</w:t>
      </w:r>
    </w:p>
    <w:tbl>
      <w:tblPr>
        <w:tblStyle w:val="3"/>
        <w:tblW w:w="8414"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80"/>
        <w:gridCol w:w="1970"/>
        <w:gridCol w:w="2672"/>
        <w:gridCol w:w="24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3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22"/>
                <w:szCs w:val="22"/>
                <w:u w:val="none"/>
              </w:rPr>
            </w:pPr>
            <w:r>
              <w:rPr>
                <w:rFonts w:hint="eastAsia" w:ascii="仿宋" w:hAnsi="仿宋" w:eastAsia="仿宋" w:cs="仿宋"/>
                <w:b/>
                <w:bCs/>
                <w:i w:val="0"/>
                <w:iCs w:val="0"/>
                <w:snapToGrid w:val="0"/>
                <w:color w:val="000000"/>
                <w:kern w:val="0"/>
                <w:sz w:val="22"/>
                <w:szCs w:val="22"/>
                <w:u w:val="none"/>
                <w:lang w:val="en-US" w:eastAsia="zh-CN" w:bidi="ar"/>
              </w:rPr>
              <w:t>时间</w:t>
            </w:r>
          </w:p>
        </w:tc>
        <w:tc>
          <w:tcPr>
            <w:tcW w:w="2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snapToGrid w:val="0"/>
                <w:color w:val="000000"/>
                <w:kern w:val="0"/>
                <w:sz w:val="22"/>
                <w:szCs w:val="22"/>
                <w:u w:val="none"/>
                <w:lang w:val="en-US" w:eastAsia="zh-CN" w:bidi="ar"/>
              </w:rPr>
              <w:t>内容</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snapToGrid w:val="0"/>
                <w:color w:val="000000"/>
                <w:kern w:val="0"/>
                <w:sz w:val="22"/>
                <w:szCs w:val="22"/>
                <w:u w:val="none"/>
                <w:lang w:val="en-US" w:eastAsia="zh-CN" w:bidi="ar"/>
              </w:rPr>
              <w:t>负责部门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2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snapToGrid w:val="0"/>
                <w:color w:val="000000"/>
                <w:kern w:val="0"/>
                <w:sz w:val="22"/>
                <w:szCs w:val="22"/>
                <w:u w:val="none"/>
                <w:lang w:val="en-US" w:eastAsia="zh-CN" w:bidi="ar"/>
              </w:rPr>
            </w:pPr>
            <w:r>
              <w:rPr>
                <w:rFonts w:hint="eastAsia" w:ascii="仿宋" w:hAnsi="仿宋" w:eastAsia="仿宋" w:cs="仿宋"/>
                <w:i w:val="0"/>
                <w:iCs w:val="0"/>
                <w:snapToGrid w:val="0"/>
                <w:color w:val="000000"/>
                <w:kern w:val="0"/>
                <w:sz w:val="22"/>
                <w:szCs w:val="22"/>
                <w:u w:val="none"/>
                <w:lang w:val="en-US" w:eastAsia="zh-CN" w:bidi="ar"/>
              </w:rPr>
              <w:t>竞赛</w:t>
            </w:r>
          </w:p>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前一天</w:t>
            </w:r>
          </w:p>
        </w:tc>
        <w:tc>
          <w:tcPr>
            <w:tcW w:w="1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08:00-14:00</w:t>
            </w:r>
          </w:p>
        </w:tc>
        <w:tc>
          <w:tcPr>
            <w:tcW w:w="2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参赛选手报到</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协办单位、大赛组委会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15:00-16:00</w:t>
            </w:r>
          </w:p>
        </w:tc>
        <w:tc>
          <w:tcPr>
            <w:tcW w:w="2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赛前说明会、抽督导、第一次抽签顺序号</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大赛组委会、参赛院校、加密裁判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16:00-16:30</w:t>
            </w:r>
          </w:p>
        </w:tc>
        <w:tc>
          <w:tcPr>
            <w:tcW w:w="2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裁判会议</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大赛组委会、裁判组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16:30-17:00</w:t>
            </w:r>
          </w:p>
        </w:tc>
        <w:tc>
          <w:tcPr>
            <w:tcW w:w="2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选手熟悉赛场</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参赛选手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17:00-18:00</w:t>
            </w:r>
          </w:p>
        </w:tc>
        <w:tc>
          <w:tcPr>
            <w:tcW w:w="2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封闭赛场</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裁判组、监督人员、技术人员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28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snapToGrid w:val="0"/>
                <w:color w:val="000000"/>
                <w:kern w:val="0"/>
                <w:sz w:val="22"/>
                <w:szCs w:val="22"/>
                <w:u w:val="none"/>
                <w:lang w:val="en-US" w:eastAsia="zh-CN" w:bidi="ar"/>
              </w:rPr>
            </w:pPr>
            <w:r>
              <w:rPr>
                <w:rFonts w:hint="eastAsia" w:ascii="仿宋" w:hAnsi="仿宋" w:eastAsia="仿宋" w:cs="仿宋"/>
                <w:i w:val="0"/>
                <w:iCs w:val="0"/>
                <w:snapToGrid w:val="0"/>
                <w:color w:val="000000"/>
                <w:kern w:val="0"/>
                <w:sz w:val="22"/>
                <w:szCs w:val="22"/>
                <w:u w:val="none"/>
                <w:lang w:val="en-US" w:eastAsia="zh-CN" w:bidi="ar"/>
              </w:rPr>
              <w:t>竞赛</w:t>
            </w:r>
          </w:p>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当天</w:t>
            </w:r>
          </w:p>
        </w:tc>
        <w:tc>
          <w:tcPr>
            <w:tcW w:w="1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08:00-9:00</w:t>
            </w:r>
          </w:p>
        </w:tc>
        <w:tc>
          <w:tcPr>
            <w:tcW w:w="2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学生检录入场、第二次抽签(机位号)、检查确认竞赛设备</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现场裁判、技术人员、加密裁判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280" w:type="dxa"/>
            <w:vMerge w:val="continue"/>
            <w:tcBorders>
              <w:left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09:00-10:00</w:t>
            </w:r>
          </w:p>
        </w:tc>
        <w:tc>
          <w:tcPr>
            <w:tcW w:w="2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模块一正式比赛</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现场裁判、监考人员、监督人员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280" w:type="dxa"/>
            <w:vMerge w:val="continue"/>
            <w:tcBorders>
              <w:left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10:30-12:00</w:t>
            </w:r>
          </w:p>
        </w:tc>
        <w:tc>
          <w:tcPr>
            <w:tcW w:w="2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模块二正式比赛</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snapToGrid w:val="0"/>
                <w:color w:val="000000"/>
                <w:kern w:val="0"/>
                <w:sz w:val="22"/>
                <w:szCs w:val="22"/>
                <w:u w:val="none"/>
                <w:lang w:val="en-US" w:eastAsia="zh-CN" w:bidi="ar"/>
              </w:rPr>
              <w:t>现场裁判、监考人员、监督人员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28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p>
        </w:tc>
        <w:tc>
          <w:tcPr>
            <w:tcW w:w="1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snapToGrid w:val="0"/>
                <w:color w:val="000000"/>
                <w:kern w:val="0"/>
                <w:sz w:val="22"/>
                <w:szCs w:val="22"/>
                <w:u w:val="none"/>
                <w:lang w:val="en-US" w:eastAsia="zh-CN" w:bidi="ar"/>
              </w:rPr>
            </w:pPr>
            <w:r>
              <w:rPr>
                <w:rFonts w:hint="eastAsia" w:ascii="仿宋" w:hAnsi="仿宋" w:eastAsia="仿宋" w:cs="仿宋"/>
                <w:i w:val="0"/>
                <w:iCs w:val="0"/>
                <w:snapToGrid w:val="0"/>
                <w:color w:val="000000"/>
                <w:kern w:val="0"/>
                <w:sz w:val="22"/>
                <w:szCs w:val="22"/>
                <w:u w:val="none"/>
                <w:lang w:val="en-US" w:eastAsia="zh-CN" w:bidi="ar"/>
              </w:rPr>
              <w:t>12:00-13:00</w:t>
            </w:r>
          </w:p>
        </w:tc>
        <w:tc>
          <w:tcPr>
            <w:tcW w:w="2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snapToGrid w:val="0"/>
                <w:color w:val="000000"/>
                <w:kern w:val="0"/>
                <w:sz w:val="22"/>
                <w:szCs w:val="22"/>
                <w:u w:val="none"/>
                <w:lang w:val="en-US" w:eastAsia="zh-CN" w:bidi="ar"/>
              </w:rPr>
            </w:pPr>
            <w:r>
              <w:rPr>
                <w:rFonts w:hint="eastAsia" w:ascii="仿宋" w:hAnsi="仿宋" w:eastAsia="仿宋" w:cs="仿宋"/>
                <w:i w:val="0"/>
                <w:iCs w:val="0"/>
                <w:snapToGrid w:val="0"/>
                <w:color w:val="000000"/>
                <w:kern w:val="0"/>
                <w:sz w:val="22"/>
                <w:szCs w:val="22"/>
                <w:u w:val="none"/>
                <w:lang w:val="en-US" w:eastAsia="zh-CN" w:bidi="ar"/>
              </w:rPr>
              <w:t>竞赛结束，选手离场，赛场清理与封闭</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snapToGrid w:val="0"/>
                <w:color w:val="000000"/>
                <w:kern w:val="0"/>
                <w:sz w:val="22"/>
                <w:szCs w:val="22"/>
                <w:u w:val="none"/>
                <w:lang w:val="en-US" w:eastAsia="zh-CN" w:bidi="ar"/>
              </w:rPr>
            </w:pPr>
            <w:r>
              <w:rPr>
                <w:rFonts w:hint="eastAsia" w:ascii="仿宋" w:hAnsi="仿宋" w:eastAsia="仿宋" w:cs="仿宋"/>
                <w:i w:val="0"/>
                <w:iCs w:val="0"/>
                <w:snapToGrid w:val="0"/>
                <w:color w:val="000000"/>
                <w:kern w:val="0"/>
                <w:sz w:val="22"/>
                <w:szCs w:val="22"/>
                <w:u w:val="none"/>
                <w:lang w:val="en-US" w:eastAsia="zh-CN" w:bidi="ar"/>
              </w:rPr>
              <w:t>现场裁判、技术人员</w:t>
            </w:r>
          </w:p>
        </w:tc>
      </w:tr>
    </w:tbl>
    <w:p>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注：具体安排以《赛项指南》与比赛当天通知为准。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38"/>
        <w:jc w:val="left"/>
        <w:textAlignment w:val="baseline"/>
        <w:outlineLvl w:val="1"/>
        <w:rPr>
          <w:rFonts w:ascii="Arial"/>
          <w:color w:val="auto"/>
          <w:sz w:val="21"/>
        </w:rPr>
      </w:pPr>
      <w:r>
        <w:rPr>
          <w:rFonts w:hint="eastAsia" w:ascii="微软雅黑" w:hAnsi="微软雅黑" w:eastAsia="微软雅黑" w:cs="微软雅黑"/>
          <w:color w:val="auto"/>
          <w:spacing w:val="3"/>
          <w:sz w:val="30"/>
          <w:szCs w:val="30"/>
          <w:lang w:val="en-US" w:eastAsia="zh-CN"/>
        </w:rPr>
        <w:t>五</w:t>
      </w:r>
      <w:r>
        <w:rPr>
          <w:rFonts w:ascii="微软雅黑" w:hAnsi="微软雅黑" w:eastAsia="微软雅黑" w:cs="微软雅黑"/>
          <w:color w:val="auto"/>
          <w:spacing w:val="3"/>
          <w:sz w:val="30"/>
          <w:szCs w:val="30"/>
        </w:rPr>
        <w:t>、竞赛方式</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20" w:firstLineChars="200"/>
        <w:jc w:val="left"/>
        <w:textAlignment w:val="baseline"/>
        <w:rPr>
          <w:rFonts w:hint="eastAsia" w:ascii="仿宋" w:hAnsi="仿宋" w:eastAsia="仿宋" w:cs="仿宋"/>
          <w:color w:val="auto"/>
          <w:sz w:val="28"/>
          <w:szCs w:val="28"/>
        </w:rPr>
      </w:pPr>
      <w:r>
        <w:rPr>
          <w:rFonts w:hint="eastAsia" w:ascii="仿宋" w:hAnsi="仿宋" w:eastAsia="仿宋" w:cs="仿宋"/>
          <w:color w:val="auto"/>
          <w:spacing w:val="15"/>
          <w:position w:val="-1"/>
          <w:sz w:val="28"/>
          <w:szCs w:val="28"/>
          <w:lang w:val="en-US" w:eastAsia="zh-CN"/>
        </w:rPr>
        <w:t>1.</w:t>
      </w:r>
      <w:r>
        <w:rPr>
          <w:rFonts w:hint="eastAsia" w:ascii="仿宋" w:hAnsi="仿宋" w:eastAsia="仿宋" w:cs="仿宋"/>
          <w:color w:val="auto"/>
          <w:spacing w:val="15"/>
          <w:position w:val="-1"/>
          <w:sz w:val="28"/>
          <w:szCs w:val="28"/>
        </w:rPr>
        <w:t>竞赛形式</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24" w:firstLineChars="200"/>
        <w:jc w:val="left"/>
        <w:textAlignment w:val="baseline"/>
        <w:rPr>
          <w:rFonts w:hint="eastAsia" w:ascii="仿宋" w:hAnsi="仿宋" w:eastAsia="仿宋" w:cs="仿宋"/>
          <w:color w:val="auto"/>
          <w:sz w:val="28"/>
          <w:szCs w:val="28"/>
        </w:rPr>
      </w:pPr>
      <w:r>
        <w:rPr>
          <w:rFonts w:hint="eastAsia" w:ascii="仿宋" w:hAnsi="仿宋" w:eastAsia="仿宋" w:cs="仿宋"/>
          <w:color w:val="auto"/>
          <w:spacing w:val="-9"/>
          <w:sz w:val="28"/>
          <w:szCs w:val="28"/>
        </w:rPr>
        <w:t>线下比赛。</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52" w:firstLineChars="200"/>
        <w:jc w:val="left"/>
        <w:textAlignment w:val="baseline"/>
        <w:outlineLvl w:val="1"/>
        <w:rPr>
          <w:rFonts w:hint="eastAsia" w:ascii="仿宋" w:hAnsi="仿宋" w:eastAsia="仿宋" w:cs="仿宋"/>
          <w:color w:val="auto"/>
          <w:sz w:val="28"/>
          <w:szCs w:val="28"/>
        </w:rPr>
      </w:pPr>
      <w:r>
        <w:rPr>
          <w:rFonts w:hint="eastAsia" w:ascii="仿宋" w:hAnsi="仿宋" w:eastAsia="仿宋" w:cs="仿宋"/>
          <w:color w:val="auto"/>
          <w:spacing w:val="23"/>
          <w:position w:val="-1"/>
          <w:sz w:val="28"/>
          <w:szCs w:val="28"/>
          <w:lang w:val="en-US" w:eastAsia="zh-CN"/>
        </w:rPr>
        <w:t>2.</w:t>
      </w:r>
      <w:r>
        <w:rPr>
          <w:rFonts w:hint="eastAsia" w:ascii="仿宋" w:hAnsi="仿宋" w:eastAsia="仿宋" w:cs="仿宋"/>
          <w:color w:val="auto"/>
          <w:spacing w:val="23"/>
          <w:position w:val="-1"/>
          <w:sz w:val="28"/>
          <w:szCs w:val="28"/>
        </w:rPr>
        <w:t>组队方式</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33" w:right="8" w:firstLine="534"/>
        <w:jc w:val="left"/>
        <w:textAlignment w:val="baseline"/>
        <w:rPr>
          <w:rFonts w:hint="eastAsia"/>
          <w:color w:val="auto"/>
          <w:spacing w:val="-2"/>
          <w:position w:val="19"/>
        </w:rPr>
      </w:pPr>
      <w:r>
        <w:rPr>
          <w:rFonts w:hint="eastAsia"/>
          <w:color w:val="auto"/>
          <w:spacing w:val="-2"/>
          <w:position w:val="19"/>
          <w:lang w:eastAsia="zh-CN"/>
        </w:rPr>
        <w:t>（</w:t>
      </w:r>
      <w:r>
        <w:rPr>
          <w:rFonts w:hint="eastAsia"/>
          <w:color w:val="auto"/>
          <w:spacing w:val="-2"/>
          <w:position w:val="19"/>
          <w:lang w:val="en-US" w:eastAsia="zh-CN"/>
        </w:rPr>
        <w:t>1</w:t>
      </w:r>
      <w:r>
        <w:rPr>
          <w:rFonts w:hint="eastAsia"/>
          <w:color w:val="auto"/>
          <w:spacing w:val="-2"/>
          <w:position w:val="19"/>
          <w:lang w:eastAsia="zh-CN"/>
        </w:rPr>
        <w:t>）</w:t>
      </w:r>
      <w:r>
        <w:rPr>
          <w:rFonts w:hint="eastAsia"/>
          <w:color w:val="auto"/>
          <w:spacing w:val="-2"/>
          <w:position w:val="19"/>
        </w:rPr>
        <w:t>本次竞赛以团队方式进行，每队3人，包含1名教师和2名学生。不得跨校组队。</w:t>
      </w:r>
      <w:r>
        <w:rPr>
          <w:rFonts w:hint="eastAsia"/>
          <w:color w:val="auto"/>
          <w:spacing w:val="-2"/>
          <w:position w:val="19"/>
          <w:highlight w:val="yellow"/>
        </w:rPr>
        <w:t>同一学校报名参赛队不超过</w:t>
      </w:r>
      <w:r>
        <w:rPr>
          <w:rFonts w:hint="eastAsia"/>
          <w:color w:val="auto"/>
          <w:spacing w:val="-2"/>
          <w:position w:val="19"/>
          <w:highlight w:val="yellow"/>
          <w:lang w:val="en-US" w:eastAsia="zh-CN"/>
        </w:rPr>
        <w:t>2</w:t>
      </w:r>
      <w:r>
        <w:rPr>
          <w:rFonts w:hint="eastAsia"/>
          <w:color w:val="auto"/>
          <w:spacing w:val="-2"/>
          <w:position w:val="19"/>
          <w:highlight w:val="yellow"/>
        </w:rPr>
        <w:t>队。</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33" w:right="8" w:firstLine="534"/>
        <w:jc w:val="left"/>
        <w:textAlignment w:val="baseline"/>
        <w:rPr>
          <w:rFonts w:hint="eastAsia"/>
          <w:color w:val="auto"/>
          <w:spacing w:val="-2"/>
          <w:position w:val="19"/>
        </w:rPr>
      </w:pPr>
      <w:r>
        <w:rPr>
          <w:rFonts w:hint="eastAsia"/>
          <w:color w:val="auto"/>
          <w:spacing w:val="-2"/>
          <w:position w:val="19"/>
          <w:lang w:eastAsia="zh-CN"/>
        </w:rPr>
        <w:t>（</w:t>
      </w:r>
      <w:r>
        <w:rPr>
          <w:rFonts w:hint="eastAsia"/>
          <w:color w:val="auto"/>
          <w:spacing w:val="-2"/>
          <w:position w:val="19"/>
          <w:lang w:val="en-US" w:eastAsia="zh-CN"/>
        </w:rPr>
        <w:t>2</w:t>
      </w:r>
      <w:r>
        <w:rPr>
          <w:rFonts w:hint="eastAsia"/>
          <w:color w:val="auto"/>
          <w:spacing w:val="-2"/>
          <w:position w:val="19"/>
          <w:lang w:eastAsia="zh-CN"/>
        </w:rPr>
        <w:t>）</w:t>
      </w:r>
      <w:r>
        <w:rPr>
          <w:rFonts w:hint="eastAsia"/>
          <w:color w:val="auto"/>
          <w:spacing w:val="-2"/>
          <w:position w:val="19"/>
        </w:rPr>
        <w:t>参赛学生须为中等职业学校全日制在籍学生，资格以报名时所具有的在校学籍为准。凡在往届全国职业院校技能大赛中获一等奖的选手，不能再参加今年同一专业类赛项的比赛。参赛教师须为职业院校教龄2年以上（含）的在职教师。</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33" w:right="8" w:firstLine="534"/>
        <w:jc w:val="left"/>
        <w:textAlignment w:val="baseline"/>
        <w:rPr>
          <w:rFonts w:hint="eastAsia"/>
          <w:color w:val="auto"/>
          <w:spacing w:val="-2"/>
          <w:position w:val="19"/>
        </w:rPr>
      </w:pPr>
      <w:r>
        <w:rPr>
          <w:rFonts w:hint="eastAsia"/>
          <w:color w:val="auto"/>
          <w:spacing w:val="-2"/>
          <w:position w:val="19"/>
          <w:lang w:eastAsia="zh-CN"/>
        </w:rPr>
        <w:t>（</w:t>
      </w:r>
      <w:r>
        <w:rPr>
          <w:rFonts w:hint="eastAsia"/>
          <w:color w:val="auto"/>
          <w:spacing w:val="-2"/>
          <w:position w:val="19"/>
          <w:lang w:val="en-US" w:eastAsia="zh-CN"/>
        </w:rPr>
        <w:t>3</w:t>
      </w:r>
      <w:r>
        <w:rPr>
          <w:rFonts w:hint="eastAsia"/>
          <w:color w:val="auto"/>
          <w:spacing w:val="-2"/>
          <w:position w:val="19"/>
          <w:lang w:eastAsia="zh-CN"/>
        </w:rPr>
        <w:t>）</w:t>
      </w:r>
      <w:r>
        <w:rPr>
          <w:rFonts w:hint="eastAsia"/>
          <w:color w:val="auto"/>
          <w:spacing w:val="-2"/>
          <w:position w:val="19"/>
        </w:rPr>
        <w:t>本赛项为师生同赛试点项目，不再另设指导教师。</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33" w:right="8" w:firstLine="534"/>
        <w:jc w:val="left"/>
        <w:textAlignment w:val="baseline"/>
        <w:rPr>
          <w:rFonts w:hint="default" w:eastAsia="仿宋"/>
          <w:color w:val="auto"/>
          <w:spacing w:val="-2"/>
          <w:position w:val="19"/>
          <w:lang w:val="en-US" w:eastAsia="zh-CN"/>
        </w:rPr>
      </w:pPr>
      <w:r>
        <w:rPr>
          <w:rFonts w:hint="eastAsia"/>
          <w:color w:val="auto"/>
          <w:spacing w:val="-2"/>
          <w:position w:val="19"/>
          <w:lang w:val="en-US" w:eastAsia="zh-CN"/>
        </w:rPr>
        <w:t>3.</w:t>
      </w:r>
      <w:r>
        <w:rPr>
          <w:rFonts w:hint="eastAsia"/>
          <w:color w:val="auto"/>
          <w:spacing w:val="-2"/>
          <w:position w:val="19"/>
        </w:rPr>
        <w:t>模块一和模块二采取机考（闭卷），由参赛选手在规定时间内完成答题任务，由计算机评分与计分</w:t>
      </w:r>
      <w:r>
        <w:rPr>
          <w:rFonts w:hint="eastAsia"/>
          <w:color w:val="auto"/>
          <w:spacing w:val="-2"/>
          <w:position w:val="19"/>
          <w:lang w:eastAsia="zh-CN"/>
        </w:rPr>
        <w:t>，</w:t>
      </w:r>
      <w:r>
        <w:rPr>
          <w:rFonts w:hint="eastAsia"/>
          <w:color w:val="auto"/>
          <w:spacing w:val="-2"/>
          <w:position w:val="19"/>
          <w:lang w:val="en-US" w:eastAsia="zh-CN"/>
        </w:rPr>
        <w:t>并</w:t>
      </w:r>
      <w:r>
        <w:rPr>
          <w:rFonts w:hint="eastAsia"/>
          <w:color w:val="auto"/>
          <w:spacing w:val="-2"/>
          <w:position w:val="19"/>
          <w:lang w:eastAsia="zh-CN"/>
        </w:rPr>
        <w:t>最终计算团队平均成绩。</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33" w:right="8" w:firstLine="534"/>
        <w:jc w:val="left"/>
        <w:textAlignment w:val="baseline"/>
        <w:rPr>
          <w:color w:val="auto"/>
        </w:rPr>
      </w:pPr>
      <w:r>
        <w:rPr>
          <w:rFonts w:hint="eastAsia"/>
          <w:color w:val="auto"/>
          <w:spacing w:val="-2"/>
          <w:position w:val="19"/>
        </w:rPr>
        <w:t>4</w:t>
      </w:r>
      <w:r>
        <w:rPr>
          <w:rFonts w:hint="eastAsia"/>
          <w:color w:val="auto"/>
          <w:spacing w:val="-2"/>
          <w:position w:val="19"/>
          <w:lang w:val="en-US" w:eastAsia="zh-CN"/>
        </w:rPr>
        <w:t>.</w:t>
      </w:r>
      <w:r>
        <w:rPr>
          <w:rFonts w:hint="eastAsia"/>
          <w:color w:val="auto"/>
          <w:spacing w:val="-2"/>
          <w:position w:val="19"/>
        </w:rPr>
        <w:t>本次竞赛不邀请境外代表队参赛和观摩。</w:t>
      </w:r>
    </w:p>
    <w:p>
      <w:pPr>
        <w:keepNext w:val="0"/>
        <w:keepLines w:val="0"/>
        <w:pageBreakBefore w:val="0"/>
        <w:widowControl/>
        <w:kinsoku w:val="0"/>
        <w:wordWrap/>
        <w:overflowPunct/>
        <w:topLinePunct w:val="0"/>
        <w:autoSpaceDE w:val="0"/>
        <w:autoSpaceDN w:val="0"/>
        <w:bidi w:val="0"/>
        <w:adjustRightInd w:val="0"/>
        <w:snapToGrid w:val="0"/>
        <w:spacing w:line="360" w:lineRule="auto"/>
        <w:ind w:left="38"/>
        <w:jc w:val="left"/>
        <w:textAlignment w:val="baseline"/>
        <w:outlineLvl w:val="0"/>
        <w:rPr>
          <w:rFonts w:ascii="微软雅黑" w:hAnsi="微软雅黑" w:eastAsia="微软雅黑" w:cs="微软雅黑"/>
          <w:color w:val="auto"/>
          <w:sz w:val="30"/>
          <w:szCs w:val="30"/>
        </w:rPr>
      </w:pPr>
      <w:r>
        <w:rPr>
          <w:rFonts w:hint="eastAsia" w:ascii="微软雅黑" w:hAnsi="微软雅黑" w:eastAsia="微软雅黑" w:cs="微软雅黑"/>
          <w:color w:val="auto"/>
          <w:spacing w:val="5"/>
          <w:sz w:val="30"/>
          <w:szCs w:val="30"/>
          <w:lang w:val="en-US" w:eastAsia="zh-CN"/>
        </w:rPr>
        <w:t>六</w:t>
      </w:r>
      <w:r>
        <w:rPr>
          <w:rFonts w:ascii="微软雅黑" w:hAnsi="微软雅黑" w:eastAsia="微软雅黑" w:cs="微软雅黑"/>
          <w:color w:val="auto"/>
          <w:spacing w:val="5"/>
          <w:sz w:val="30"/>
          <w:szCs w:val="30"/>
        </w:rPr>
        <w:t>、抽签方法</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85" w:firstLine="569"/>
        <w:jc w:val="left"/>
        <w:textAlignment w:val="baseline"/>
        <w:rPr>
          <w:color w:val="auto"/>
          <w:highlight w:val="none"/>
        </w:rPr>
      </w:pPr>
      <w:r>
        <w:rPr>
          <w:color w:val="auto"/>
          <w:spacing w:val="-4"/>
          <w:highlight w:val="none"/>
        </w:rPr>
        <w:t>方法：报到时领取选手参赛号，赛前说明会后</w:t>
      </w:r>
      <w:r>
        <w:rPr>
          <w:color w:val="auto"/>
          <w:spacing w:val="-5"/>
          <w:highlight w:val="none"/>
        </w:rPr>
        <w:t>采用</w:t>
      </w:r>
      <w:r>
        <w:rPr>
          <w:rFonts w:hint="eastAsia"/>
          <w:color w:val="auto"/>
          <w:spacing w:val="-5"/>
          <w:highlight w:val="none"/>
          <w:lang w:val="en-US" w:eastAsia="zh-CN"/>
        </w:rPr>
        <w:t>人工</w:t>
      </w:r>
      <w:r>
        <w:rPr>
          <w:color w:val="auto"/>
          <w:spacing w:val="-5"/>
          <w:highlight w:val="none"/>
        </w:rPr>
        <w:t>方式</w:t>
      </w:r>
      <w:r>
        <w:rPr>
          <w:color w:val="auto"/>
          <w:spacing w:val="-4"/>
          <w:highlight w:val="none"/>
        </w:rPr>
        <w:t>进行第一次抽签，抽取抽签顺序号。比赛前第二次抽签，根据抽签</w:t>
      </w:r>
      <w:r>
        <w:rPr>
          <w:color w:val="auto"/>
          <w:spacing w:val="3"/>
          <w:highlight w:val="none"/>
        </w:rPr>
        <w:t>顺序号顺序人工抽取机位号，进入考场后，对号入位</w:t>
      </w:r>
      <w:r>
        <w:rPr>
          <w:color w:val="auto"/>
          <w:spacing w:val="-4"/>
          <w:highlight w:val="none"/>
        </w:rPr>
        <w:t>。</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753"/>
        <w:jc w:val="left"/>
        <w:textAlignment w:val="baseline"/>
        <w:rPr>
          <w:rFonts w:ascii="微软雅黑" w:hAnsi="微软雅黑" w:eastAsia="微软雅黑" w:cs="微软雅黑"/>
          <w:color w:val="auto"/>
          <w:spacing w:val="4"/>
          <w:sz w:val="30"/>
          <w:szCs w:val="30"/>
          <w:highlight w:val="none"/>
        </w:rPr>
      </w:pPr>
      <w:r>
        <w:rPr>
          <w:color w:val="auto"/>
          <w:spacing w:val="-4"/>
          <w:highlight w:val="none"/>
        </w:rPr>
        <w:t>原则：确保抽签公平、公正。</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7"/>
        <w:jc w:val="left"/>
        <w:textAlignment w:val="baseline"/>
        <w:outlineLvl w:val="1"/>
        <w:rPr>
          <w:rFonts w:ascii="Arial"/>
          <w:color w:val="auto"/>
          <w:sz w:val="21"/>
        </w:rPr>
      </w:pPr>
      <w:r>
        <w:rPr>
          <w:rFonts w:ascii="微软雅黑" w:hAnsi="微软雅黑" w:eastAsia="微软雅黑" w:cs="微软雅黑"/>
          <w:color w:val="auto"/>
          <w:spacing w:val="4"/>
          <w:sz w:val="30"/>
          <w:szCs w:val="30"/>
        </w:rPr>
        <w:t>七、竞赛规则</w:t>
      </w:r>
    </w:p>
    <w:p>
      <w:pPr>
        <w:keepNext w:val="0"/>
        <w:keepLines w:val="0"/>
        <w:pageBreakBefore w:val="0"/>
        <w:widowControl/>
        <w:kinsoku w:val="0"/>
        <w:wordWrap/>
        <w:overflowPunct/>
        <w:topLinePunct w:val="0"/>
        <w:autoSpaceDE w:val="0"/>
        <w:autoSpaceDN w:val="0"/>
        <w:bidi w:val="0"/>
        <w:adjustRightInd w:val="0"/>
        <w:snapToGrid w:val="0"/>
        <w:spacing w:line="360" w:lineRule="auto"/>
        <w:ind w:left="706"/>
        <w:jc w:val="left"/>
        <w:textAlignment w:val="baseline"/>
        <w:rPr>
          <w:rFonts w:ascii="Arial"/>
          <w:color w:val="auto"/>
          <w:sz w:val="30"/>
          <w:szCs w:val="30"/>
        </w:rPr>
      </w:pPr>
      <w:r>
        <w:rPr>
          <w:rFonts w:ascii="微软雅黑" w:hAnsi="微软雅黑" w:eastAsia="微软雅黑" w:cs="微软雅黑"/>
          <w:color w:val="auto"/>
          <w:spacing w:val="9"/>
          <w:position w:val="-1"/>
          <w:sz w:val="30"/>
          <w:szCs w:val="30"/>
        </w:rPr>
        <w:t>(一)选手报名</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38" w:firstLine="556" w:firstLineChars="200"/>
        <w:jc w:val="left"/>
        <w:textAlignment w:val="baseline"/>
        <w:rPr>
          <w:color w:val="auto"/>
        </w:rPr>
      </w:pPr>
      <w:r>
        <w:rPr>
          <w:rFonts w:hint="eastAsia"/>
          <w:color w:val="auto"/>
          <w:spacing w:val="-1"/>
        </w:rPr>
        <w:t>本次竞赛为师生同赛。参赛学生须为中等职业学校全日制在籍学生，资格以报名时所具有的在校学籍为准。凡在往届全国职业院校技能大赛中获一等奖的选手，不能再参加今年同一专业类赛项的比赛。参赛教师须为职业院校教龄2年以上（含）的在职教师。</w:t>
      </w:r>
    </w:p>
    <w:p>
      <w:pPr>
        <w:keepNext w:val="0"/>
        <w:keepLines w:val="0"/>
        <w:pageBreakBefore w:val="0"/>
        <w:widowControl/>
        <w:kinsoku w:val="0"/>
        <w:wordWrap/>
        <w:overflowPunct/>
        <w:topLinePunct w:val="0"/>
        <w:autoSpaceDE w:val="0"/>
        <w:autoSpaceDN w:val="0"/>
        <w:bidi w:val="0"/>
        <w:adjustRightInd w:val="0"/>
        <w:snapToGrid w:val="0"/>
        <w:spacing w:line="360" w:lineRule="auto"/>
        <w:ind w:left="706"/>
        <w:jc w:val="left"/>
        <w:textAlignment w:val="baseline"/>
        <w:outlineLvl w:val="1"/>
        <w:rPr>
          <w:rFonts w:ascii="Arial"/>
          <w:color w:val="auto"/>
          <w:sz w:val="30"/>
          <w:szCs w:val="30"/>
        </w:rPr>
      </w:pPr>
      <w:r>
        <w:rPr>
          <w:rFonts w:ascii="微软雅黑" w:hAnsi="微软雅黑" w:eastAsia="微软雅黑" w:cs="微软雅黑"/>
          <w:color w:val="auto"/>
          <w:spacing w:val="16"/>
          <w:position w:val="-1"/>
          <w:sz w:val="30"/>
          <w:szCs w:val="30"/>
        </w:rPr>
        <w:t>(二)熟悉场地</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33" w:right="59" w:firstLine="535"/>
        <w:jc w:val="left"/>
        <w:textAlignment w:val="baseline"/>
        <w:rPr>
          <w:color w:val="auto"/>
        </w:rPr>
      </w:pPr>
      <w:r>
        <w:rPr>
          <w:color w:val="auto"/>
          <w:spacing w:val="-5"/>
        </w:rPr>
        <w:t>大赛报到当日，将由大赛组委会统一组织参赛团队，在规定时间</w:t>
      </w:r>
      <w:r>
        <w:rPr>
          <w:color w:val="auto"/>
          <w:spacing w:val="4"/>
        </w:rPr>
        <w:t>地点，有序熟悉竞赛场地。必须严格遵守大赛相关制度，听从大赛</w:t>
      </w:r>
      <w:r>
        <w:rPr>
          <w:color w:val="auto"/>
          <w:spacing w:val="-3"/>
        </w:rPr>
        <w:t>组委会安排，不得拥挤打闹。</w:t>
      </w:r>
    </w:p>
    <w:p>
      <w:pPr>
        <w:keepNext w:val="0"/>
        <w:keepLines w:val="0"/>
        <w:pageBreakBefore w:val="0"/>
        <w:widowControl/>
        <w:kinsoku w:val="0"/>
        <w:wordWrap/>
        <w:overflowPunct/>
        <w:topLinePunct w:val="0"/>
        <w:autoSpaceDE w:val="0"/>
        <w:autoSpaceDN w:val="0"/>
        <w:bidi w:val="0"/>
        <w:adjustRightInd w:val="0"/>
        <w:snapToGrid w:val="0"/>
        <w:spacing w:line="360" w:lineRule="auto"/>
        <w:ind w:left="706"/>
        <w:jc w:val="left"/>
        <w:textAlignment w:val="baseline"/>
        <w:outlineLvl w:val="1"/>
        <w:rPr>
          <w:rFonts w:ascii="Arial"/>
          <w:color w:val="auto"/>
          <w:sz w:val="30"/>
          <w:szCs w:val="30"/>
        </w:rPr>
      </w:pPr>
      <w:r>
        <w:rPr>
          <w:rFonts w:ascii="微软雅黑" w:hAnsi="微软雅黑" w:eastAsia="微软雅黑" w:cs="微软雅黑"/>
          <w:color w:val="auto"/>
          <w:spacing w:val="25"/>
          <w:position w:val="-1"/>
          <w:sz w:val="30"/>
          <w:szCs w:val="30"/>
        </w:rPr>
        <w:t>(三)入场规则</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55" w:firstLine="540" w:firstLineChars="200"/>
        <w:jc w:val="left"/>
        <w:textAlignment w:val="baseline"/>
        <w:rPr>
          <w:color w:val="auto"/>
        </w:rPr>
      </w:pPr>
      <w:r>
        <w:rPr>
          <w:color w:val="auto"/>
          <w:spacing w:val="-5"/>
          <w:position w:val="19"/>
        </w:rPr>
        <w:t>参赛选手需在指定位置检录入场，检录时提供参赛证、学生证和</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32"/>
        <w:jc w:val="left"/>
        <w:textAlignment w:val="baseline"/>
        <w:rPr>
          <w:color w:val="auto"/>
        </w:rPr>
      </w:pPr>
      <w:r>
        <w:rPr>
          <w:color w:val="auto"/>
          <w:spacing w:val="-11"/>
        </w:rPr>
        <w:t>身份证（三证齐全）。赛前统一进场，比赛开始</w:t>
      </w:r>
      <w:r>
        <w:rPr>
          <w:rFonts w:ascii="Times New Roman" w:hAnsi="Times New Roman" w:eastAsia="Times New Roman" w:cs="Times New Roman"/>
          <w:color w:val="auto"/>
          <w:spacing w:val="-11"/>
        </w:rPr>
        <w:t>15</w:t>
      </w:r>
      <w:r>
        <w:rPr>
          <w:color w:val="auto"/>
          <w:spacing w:val="-11"/>
        </w:rPr>
        <w:t>分钟后不</w:t>
      </w:r>
      <w:r>
        <w:rPr>
          <w:color w:val="auto"/>
          <w:spacing w:val="-12"/>
        </w:rPr>
        <w:t>得入场。</w:t>
      </w:r>
    </w:p>
    <w:p>
      <w:pPr>
        <w:keepNext w:val="0"/>
        <w:keepLines w:val="0"/>
        <w:pageBreakBefore w:val="0"/>
        <w:widowControl/>
        <w:kinsoku w:val="0"/>
        <w:wordWrap/>
        <w:overflowPunct/>
        <w:topLinePunct w:val="0"/>
        <w:autoSpaceDE w:val="0"/>
        <w:autoSpaceDN w:val="0"/>
        <w:bidi w:val="0"/>
        <w:adjustRightInd w:val="0"/>
        <w:snapToGrid w:val="0"/>
        <w:spacing w:line="360" w:lineRule="auto"/>
        <w:ind w:left="706"/>
        <w:jc w:val="left"/>
        <w:textAlignment w:val="baseline"/>
        <w:outlineLvl w:val="1"/>
        <w:rPr>
          <w:rFonts w:ascii="微软雅黑" w:hAnsi="微软雅黑" w:eastAsia="微软雅黑" w:cs="微软雅黑"/>
          <w:color w:val="auto"/>
          <w:sz w:val="33"/>
          <w:szCs w:val="33"/>
        </w:rPr>
      </w:pPr>
      <w:r>
        <w:rPr>
          <w:rFonts w:ascii="微软雅黑" w:hAnsi="微软雅黑" w:eastAsia="微软雅黑" w:cs="微软雅黑"/>
          <w:color w:val="auto"/>
          <w:spacing w:val="10"/>
          <w:position w:val="-1"/>
          <w:sz w:val="30"/>
          <w:szCs w:val="30"/>
        </w:rPr>
        <w:t>(四)赛场规则</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33" w:right="8" w:firstLine="554"/>
        <w:jc w:val="left"/>
        <w:textAlignment w:val="baseline"/>
        <w:rPr>
          <w:color w:val="auto"/>
        </w:rPr>
      </w:pPr>
      <w:r>
        <w:rPr>
          <w:color w:val="auto"/>
          <w:spacing w:val="-4"/>
        </w:rPr>
        <w:t>比赛过程中，参赛选手须严格遵守相关安全操作规程，禁止不安</w:t>
      </w:r>
      <w:r>
        <w:rPr>
          <w:color w:val="auto"/>
          <w:spacing w:val="5"/>
        </w:rPr>
        <w:t>全操作和野蛮操作。若因选手个人因素造成人身安全事故和设备故</w:t>
      </w:r>
      <w:r>
        <w:rPr>
          <w:color w:val="auto"/>
          <w:spacing w:val="-4"/>
        </w:rPr>
        <w:t>障，不予延时，情节特别严重者，由赛项裁判组视具体情况做出处理</w:t>
      </w:r>
      <w:r>
        <w:rPr>
          <w:color w:val="auto"/>
          <w:spacing w:val="-5"/>
        </w:rPr>
        <w:t>决定（最高至终止比赛</w:t>
      </w:r>
      <w:r>
        <w:rPr>
          <w:color w:val="auto"/>
          <w:spacing w:val="14"/>
        </w:rPr>
        <w:t>），</w:t>
      </w:r>
      <w:r>
        <w:rPr>
          <w:color w:val="auto"/>
          <w:spacing w:val="-5"/>
        </w:rPr>
        <w:t>并由裁判长上报赛项执委会；若因非选手</w:t>
      </w:r>
      <w:r>
        <w:rPr>
          <w:color w:val="auto"/>
          <w:spacing w:val="-1"/>
        </w:rPr>
        <w:t>个人因素造成设备故障，由赛项裁判组视具</w:t>
      </w:r>
      <w:r>
        <w:rPr>
          <w:color w:val="auto"/>
          <w:spacing w:val="-2"/>
        </w:rPr>
        <w:t>体情况做出延时处理。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706"/>
        <w:jc w:val="left"/>
        <w:textAlignment w:val="baseline"/>
        <w:outlineLvl w:val="1"/>
        <w:rPr>
          <w:rFonts w:ascii="微软雅黑" w:hAnsi="微软雅黑" w:eastAsia="微软雅黑" w:cs="微软雅黑"/>
          <w:color w:val="auto"/>
          <w:spacing w:val="16"/>
          <w:position w:val="-1"/>
          <w:sz w:val="30"/>
          <w:szCs w:val="30"/>
        </w:rPr>
      </w:pPr>
      <w:r>
        <w:rPr>
          <w:rFonts w:ascii="微软雅黑" w:hAnsi="微软雅黑" w:eastAsia="微软雅黑" w:cs="微软雅黑"/>
          <w:color w:val="auto"/>
          <w:spacing w:val="16"/>
          <w:position w:val="-1"/>
          <w:sz w:val="30"/>
          <w:szCs w:val="30"/>
        </w:rPr>
        <w:t>(五)离场规则</w:t>
      </w:r>
    </w:p>
    <w:p>
      <w:pPr>
        <w:bidi w:val="0"/>
        <w:spacing w:line="360" w:lineRule="auto"/>
        <w:ind w:firstLine="560" w:firstLineChars="200"/>
        <w:rPr>
          <w:color w:val="auto"/>
        </w:rPr>
      </w:pPr>
      <w:r>
        <w:rPr>
          <w:rFonts w:hint="eastAsia" w:ascii="仿宋" w:hAnsi="仿宋" w:eastAsia="仿宋" w:cs="仿宋"/>
          <w:sz w:val="28"/>
          <w:szCs w:val="28"/>
        </w:rPr>
        <w:t>如果选手提前结束比赛，应报裁判员批准，比赛终止时间由裁判员记录在案，选手提前结束比赛后不得再进行任何比赛相关工作</w:t>
      </w:r>
      <w:r>
        <w:rPr>
          <w:rFonts w:hint="eastAsia" w:ascii="仿宋" w:hAnsi="仿宋" w:eastAsia="仿宋" w:cs="仿宋"/>
          <w:sz w:val="28"/>
          <w:szCs w:val="28"/>
          <w:lang w:eastAsia="zh-CN"/>
        </w:rPr>
        <w:t>。</w:t>
      </w:r>
      <w:r>
        <w:rPr>
          <w:rFonts w:hint="eastAsia" w:ascii="仿宋" w:hAnsi="仿宋" w:eastAsia="仿宋" w:cs="仿宋"/>
          <w:sz w:val="28"/>
          <w:szCs w:val="28"/>
        </w:rPr>
        <w:t>裁判长在比赛结束前15分钟对选手做出提示。裁判长宣布比赛结束后，选手应立即停止各项工作，有序离场。</w:t>
      </w:r>
    </w:p>
    <w:p>
      <w:pPr>
        <w:keepNext w:val="0"/>
        <w:keepLines w:val="0"/>
        <w:pageBreakBefore w:val="0"/>
        <w:widowControl/>
        <w:kinsoku w:val="0"/>
        <w:wordWrap/>
        <w:overflowPunct/>
        <w:topLinePunct w:val="0"/>
        <w:autoSpaceDE w:val="0"/>
        <w:autoSpaceDN w:val="0"/>
        <w:bidi w:val="0"/>
        <w:adjustRightInd w:val="0"/>
        <w:snapToGrid w:val="0"/>
        <w:spacing w:line="360" w:lineRule="auto"/>
        <w:ind w:left="706"/>
        <w:jc w:val="left"/>
        <w:textAlignment w:val="baseline"/>
        <w:outlineLvl w:val="1"/>
        <w:rPr>
          <w:rFonts w:ascii="Arial"/>
          <w:color w:val="auto"/>
          <w:sz w:val="21"/>
        </w:rPr>
      </w:pPr>
      <w:r>
        <w:rPr>
          <w:rFonts w:ascii="微软雅黑" w:hAnsi="微软雅黑" w:eastAsia="微软雅黑" w:cs="微软雅黑"/>
          <w:color w:val="auto"/>
          <w:spacing w:val="-7"/>
          <w:w w:val="98"/>
          <w:position w:val="-1"/>
          <w:sz w:val="30"/>
          <w:szCs w:val="30"/>
        </w:rPr>
        <w:t>(六)成绩评定与结果公布</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70" w:right="56" w:firstLine="555"/>
        <w:jc w:val="left"/>
        <w:textAlignment w:val="baseline"/>
        <w:rPr>
          <w:color w:val="auto"/>
          <w:spacing w:val="-3"/>
        </w:rPr>
      </w:pPr>
      <w:r>
        <w:rPr>
          <w:rFonts w:hint="eastAsia"/>
          <w:color w:val="auto"/>
          <w:spacing w:val="-3"/>
        </w:rPr>
        <w:t>模块一和模块二由竞赛系统自动评分；各参赛队的竞赛成绩取队内3名选手竞赛的平均成绩；最终成绩按照模块一和模块二加权总得分进行排名；总分相同的队伍，再分别按照模块二中构件吊装、构件灌浆成绩排序，成绩高的名次排前；如果构件吊装、构件灌浆成绩仍然相同，用时少的名次排前。比赛结束后，成绩由组委会统一公布。</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8"/>
        <w:jc w:val="left"/>
        <w:textAlignment w:val="baseline"/>
        <w:outlineLvl w:val="0"/>
        <w:rPr>
          <w:rFonts w:ascii="微软雅黑" w:hAnsi="微软雅黑" w:eastAsia="微软雅黑" w:cs="微软雅黑"/>
          <w:color w:val="auto"/>
          <w:sz w:val="30"/>
          <w:szCs w:val="30"/>
        </w:rPr>
      </w:pPr>
      <w:r>
        <w:rPr>
          <w:rFonts w:ascii="微软雅黑" w:hAnsi="微软雅黑" w:eastAsia="微软雅黑" w:cs="微软雅黑"/>
          <w:color w:val="auto"/>
          <w:spacing w:val="4"/>
          <w:sz w:val="30"/>
          <w:szCs w:val="30"/>
        </w:rPr>
        <w:t>八、技术规范</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27" w:right="11" w:firstLine="537"/>
        <w:jc w:val="left"/>
        <w:textAlignment w:val="baseline"/>
        <w:rPr>
          <w:color w:val="auto"/>
        </w:rPr>
      </w:pPr>
      <w:r>
        <w:rPr>
          <w:color w:val="auto"/>
          <w:spacing w:val="-3"/>
        </w:rPr>
        <w:t>主要依据相关国家技能规范和标准，注重考核基本技能，体现标</w:t>
      </w:r>
      <w:r>
        <w:rPr>
          <w:color w:val="auto"/>
          <w:spacing w:val="-4"/>
        </w:rPr>
        <w:t>准程序，结合岗位实际，考核职业综合能力，并对技术技能型人才培养起到示范引领作用。根据竞赛文件制定标准，</w:t>
      </w:r>
      <w:r>
        <w:rPr>
          <w:color w:val="auto"/>
          <w:spacing w:val="-5"/>
        </w:rPr>
        <w:t>主要采用以下标准、规范及参考资料：</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8"/>
        <w:jc w:val="left"/>
        <w:textAlignment w:val="baseline"/>
        <w:rPr>
          <w:rFonts w:hint="eastAsia"/>
          <w:color w:val="auto"/>
          <w:spacing w:val="-5"/>
          <w:position w:val="17"/>
        </w:rPr>
      </w:pPr>
      <w:r>
        <w:rPr>
          <w:rFonts w:hint="eastAsia"/>
          <w:color w:val="auto"/>
          <w:spacing w:val="-5"/>
          <w:position w:val="17"/>
        </w:rPr>
        <w:t>（1）《装配式混凝土结构技术规程》JGJ 1-2014</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8"/>
        <w:jc w:val="left"/>
        <w:textAlignment w:val="baseline"/>
        <w:rPr>
          <w:rFonts w:hint="eastAsia"/>
          <w:color w:val="auto"/>
          <w:spacing w:val="-5"/>
          <w:position w:val="17"/>
        </w:rPr>
      </w:pPr>
      <w:r>
        <w:rPr>
          <w:rFonts w:hint="eastAsia"/>
          <w:color w:val="auto"/>
          <w:spacing w:val="-5"/>
          <w:position w:val="17"/>
        </w:rPr>
        <w:t>（2）《预制钢筋混凝土阳台板、空调板及女儿墙》15G368-1</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8"/>
        <w:jc w:val="left"/>
        <w:textAlignment w:val="baseline"/>
        <w:rPr>
          <w:rFonts w:hint="eastAsia"/>
          <w:color w:val="auto"/>
          <w:spacing w:val="-5"/>
          <w:position w:val="17"/>
        </w:rPr>
      </w:pPr>
      <w:r>
        <w:rPr>
          <w:rFonts w:hint="eastAsia"/>
          <w:color w:val="auto"/>
          <w:spacing w:val="-5"/>
          <w:position w:val="17"/>
        </w:rPr>
        <w:t>（3）《预制钢筋混凝土楼梯（公共建筑）》20G367-2</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8"/>
        <w:jc w:val="left"/>
        <w:textAlignment w:val="baseline"/>
        <w:rPr>
          <w:rFonts w:hint="eastAsia"/>
          <w:color w:val="auto"/>
          <w:spacing w:val="-5"/>
          <w:position w:val="17"/>
        </w:rPr>
      </w:pPr>
      <w:r>
        <w:rPr>
          <w:rFonts w:hint="eastAsia"/>
          <w:color w:val="auto"/>
          <w:spacing w:val="-5"/>
          <w:position w:val="17"/>
        </w:rPr>
        <w:t>（4）《装配式混凝土结构住宅建筑设计示例（剪力墙结构）》</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8"/>
        <w:jc w:val="left"/>
        <w:textAlignment w:val="baseline"/>
        <w:rPr>
          <w:rFonts w:hint="eastAsia"/>
          <w:color w:val="auto"/>
          <w:spacing w:val="-5"/>
          <w:position w:val="17"/>
        </w:rPr>
      </w:pPr>
      <w:r>
        <w:rPr>
          <w:rFonts w:hint="eastAsia"/>
          <w:color w:val="auto"/>
          <w:spacing w:val="-5"/>
          <w:position w:val="17"/>
        </w:rPr>
        <w:t>15J939-1</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8"/>
        <w:jc w:val="left"/>
        <w:textAlignment w:val="baseline"/>
        <w:rPr>
          <w:rFonts w:hint="eastAsia"/>
          <w:color w:val="auto"/>
          <w:spacing w:val="-5"/>
          <w:position w:val="17"/>
        </w:rPr>
      </w:pPr>
      <w:r>
        <w:rPr>
          <w:rFonts w:hint="eastAsia"/>
          <w:color w:val="auto"/>
          <w:spacing w:val="-5"/>
          <w:position w:val="17"/>
        </w:rPr>
        <w:t>（5）《建筑施工起重吊装工程安全技术规范》JGJ 276-2012</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8"/>
        <w:jc w:val="left"/>
        <w:textAlignment w:val="baseline"/>
        <w:rPr>
          <w:rFonts w:hint="eastAsia"/>
          <w:color w:val="auto"/>
          <w:spacing w:val="-5"/>
          <w:position w:val="17"/>
        </w:rPr>
      </w:pPr>
      <w:r>
        <w:rPr>
          <w:rFonts w:hint="eastAsia"/>
          <w:color w:val="auto"/>
          <w:spacing w:val="-5"/>
          <w:position w:val="17"/>
        </w:rPr>
        <w:t>（6）《钢筋套筒灌浆连接应用技术规程》JGJ 355-2015</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8"/>
        <w:jc w:val="left"/>
        <w:textAlignment w:val="baseline"/>
        <w:rPr>
          <w:rFonts w:hint="eastAsia"/>
          <w:color w:val="auto"/>
          <w:spacing w:val="-5"/>
          <w:position w:val="17"/>
        </w:rPr>
      </w:pPr>
      <w:r>
        <w:rPr>
          <w:rFonts w:hint="eastAsia"/>
          <w:color w:val="auto"/>
          <w:spacing w:val="-5"/>
          <w:position w:val="17"/>
        </w:rPr>
        <w:t>（7）《装配式混凝土结构表示方法及示例（剪力墙结构）》15G107-1</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8"/>
        <w:jc w:val="left"/>
        <w:textAlignment w:val="baseline"/>
        <w:rPr>
          <w:rFonts w:hint="eastAsia"/>
          <w:color w:val="auto"/>
          <w:spacing w:val="-5"/>
          <w:position w:val="17"/>
        </w:rPr>
      </w:pPr>
      <w:r>
        <w:rPr>
          <w:rFonts w:hint="eastAsia"/>
          <w:color w:val="auto"/>
          <w:spacing w:val="-5"/>
          <w:position w:val="17"/>
        </w:rPr>
        <w:t>（8）《装配式混凝土结构连接节点构造》G310-1～2</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8"/>
        <w:jc w:val="left"/>
        <w:textAlignment w:val="baseline"/>
        <w:rPr>
          <w:rFonts w:hint="eastAsia"/>
          <w:color w:val="auto"/>
          <w:spacing w:val="-5"/>
          <w:position w:val="17"/>
        </w:rPr>
      </w:pPr>
      <w:r>
        <w:rPr>
          <w:rFonts w:hint="eastAsia"/>
          <w:color w:val="auto"/>
          <w:spacing w:val="-5"/>
          <w:position w:val="17"/>
        </w:rPr>
        <w:t>（9）《预制混凝土剪力墙外墙板》15G365-1</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8"/>
        <w:jc w:val="left"/>
        <w:textAlignment w:val="baseline"/>
        <w:rPr>
          <w:rFonts w:hint="eastAsia"/>
          <w:color w:val="auto"/>
          <w:spacing w:val="-5"/>
          <w:position w:val="17"/>
        </w:rPr>
      </w:pPr>
      <w:r>
        <w:rPr>
          <w:rFonts w:hint="eastAsia"/>
          <w:color w:val="auto"/>
          <w:spacing w:val="-5"/>
          <w:position w:val="17"/>
        </w:rPr>
        <w:t>（10）《预制混凝土剪力墙内墙板》15G365-2</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8"/>
        <w:jc w:val="left"/>
        <w:textAlignment w:val="baseline"/>
        <w:rPr>
          <w:rFonts w:hint="eastAsia"/>
          <w:color w:val="auto"/>
          <w:spacing w:val="-5"/>
          <w:position w:val="17"/>
        </w:rPr>
      </w:pPr>
      <w:r>
        <w:rPr>
          <w:rFonts w:hint="eastAsia"/>
          <w:color w:val="auto"/>
          <w:spacing w:val="-5"/>
          <w:position w:val="17"/>
        </w:rPr>
        <w:t>（11）《桁架钢筋混凝土叠合板（60mm厚底板）》15G366-1</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8"/>
        <w:jc w:val="left"/>
        <w:textAlignment w:val="baseline"/>
        <w:rPr>
          <w:rFonts w:hint="eastAsia"/>
          <w:color w:val="auto"/>
          <w:spacing w:val="-5"/>
          <w:position w:val="17"/>
        </w:rPr>
      </w:pPr>
      <w:r>
        <w:rPr>
          <w:rFonts w:hint="eastAsia"/>
          <w:color w:val="auto"/>
          <w:spacing w:val="-5"/>
          <w:position w:val="17"/>
        </w:rPr>
        <w:t>（12）《混凝土结构施工图平面整体表示方法制图规则和构造详图》</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8"/>
        <w:jc w:val="left"/>
        <w:textAlignment w:val="baseline"/>
        <w:rPr>
          <w:rFonts w:hint="eastAsia"/>
          <w:color w:val="auto"/>
          <w:spacing w:val="-5"/>
          <w:position w:val="17"/>
        </w:rPr>
      </w:pPr>
      <w:r>
        <w:rPr>
          <w:rFonts w:hint="eastAsia"/>
          <w:color w:val="auto"/>
          <w:spacing w:val="-5"/>
          <w:position w:val="17"/>
        </w:rPr>
        <w:t>22G101-1</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8"/>
        <w:jc w:val="left"/>
        <w:textAlignment w:val="baseline"/>
        <w:rPr>
          <w:rFonts w:hint="eastAsia"/>
          <w:color w:val="auto"/>
          <w:spacing w:val="-5"/>
          <w:position w:val="17"/>
        </w:rPr>
      </w:pPr>
      <w:r>
        <w:rPr>
          <w:rFonts w:hint="eastAsia"/>
          <w:color w:val="auto"/>
          <w:spacing w:val="-5"/>
          <w:position w:val="17"/>
        </w:rPr>
        <w:t>（13）《混凝土结构施工钢筋排布规则与构造详图》18G901-1</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8"/>
        <w:jc w:val="left"/>
        <w:textAlignment w:val="baseline"/>
        <w:rPr>
          <w:rFonts w:hint="eastAsia"/>
          <w:color w:val="auto"/>
          <w:spacing w:val="-5"/>
          <w:position w:val="17"/>
        </w:rPr>
      </w:pPr>
      <w:r>
        <w:rPr>
          <w:rFonts w:hint="eastAsia"/>
          <w:color w:val="auto"/>
          <w:spacing w:val="-5"/>
          <w:position w:val="17"/>
        </w:rPr>
        <w:t>（14）《装配式混凝土建筑技术标准》GB/T 51231-2016</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8"/>
        <w:jc w:val="left"/>
        <w:textAlignment w:val="baseline"/>
        <w:rPr>
          <w:rFonts w:hint="eastAsia"/>
          <w:color w:val="auto"/>
          <w:spacing w:val="-5"/>
          <w:position w:val="17"/>
        </w:rPr>
      </w:pPr>
      <w:r>
        <w:rPr>
          <w:rFonts w:hint="eastAsia"/>
          <w:color w:val="auto"/>
          <w:spacing w:val="-5"/>
          <w:position w:val="17"/>
        </w:rPr>
        <w:t>（15）《装配式混凝土剪力墙结构住宅施工工艺图解》16G906</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8"/>
        <w:jc w:val="left"/>
        <w:textAlignment w:val="baseline"/>
        <w:rPr>
          <w:rFonts w:hint="eastAsia"/>
          <w:color w:val="auto"/>
          <w:spacing w:val="-5"/>
          <w:position w:val="17"/>
        </w:rPr>
      </w:pPr>
      <w:r>
        <w:rPr>
          <w:rFonts w:hint="eastAsia"/>
          <w:color w:val="auto"/>
          <w:spacing w:val="-5"/>
          <w:position w:val="17"/>
        </w:rPr>
        <w:t>（16）《混凝土结构工程施工质量验收规范》GB 50204-2015</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8"/>
        <w:jc w:val="left"/>
        <w:textAlignment w:val="baseline"/>
        <w:rPr>
          <w:rFonts w:ascii="微软雅黑" w:hAnsi="微软雅黑" w:eastAsia="微软雅黑" w:cs="微软雅黑"/>
          <w:color w:val="auto"/>
          <w:spacing w:val="3"/>
          <w:sz w:val="30"/>
          <w:szCs w:val="30"/>
        </w:rPr>
      </w:pPr>
      <w:r>
        <w:rPr>
          <w:rFonts w:ascii="微软雅黑" w:hAnsi="微软雅黑" w:eastAsia="微软雅黑" w:cs="微软雅黑"/>
          <w:color w:val="auto"/>
          <w:spacing w:val="3"/>
          <w:sz w:val="30"/>
          <w:szCs w:val="30"/>
        </w:rPr>
        <w:t>九、技术环境</w:t>
      </w:r>
    </w:p>
    <w:p>
      <w:pPr>
        <w:keepNext w:val="0"/>
        <w:keepLines w:val="0"/>
        <w:pageBreakBefore w:val="0"/>
        <w:widowControl/>
        <w:kinsoku w:val="0"/>
        <w:wordWrap/>
        <w:overflowPunct/>
        <w:topLinePunct w:val="0"/>
        <w:autoSpaceDE w:val="0"/>
        <w:autoSpaceDN w:val="0"/>
        <w:bidi w:val="0"/>
        <w:adjustRightInd w:val="0"/>
        <w:snapToGrid w:val="0"/>
        <w:spacing w:line="360" w:lineRule="auto"/>
        <w:ind w:left="808"/>
        <w:jc w:val="left"/>
        <w:textAlignment w:val="baseline"/>
        <w:outlineLvl w:val="1"/>
        <w:rPr>
          <w:rFonts w:hint="default" w:ascii="Arial" w:eastAsia="微软雅黑"/>
          <w:color w:val="auto"/>
          <w:sz w:val="21"/>
          <w:lang w:val="en-US" w:eastAsia="zh-CN"/>
        </w:rPr>
      </w:pPr>
      <w:r>
        <w:rPr>
          <w:rFonts w:ascii="微软雅黑" w:hAnsi="微软雅黑" w:eastAsia="微软雅黑" w:cs="微软雅黑"/>
          <w:color w:val="auto"/>
          <w:spacing w:val="9"/>
          <w:position w:val="-1"/>
          <w:sz w:val="30"/>
          <w:szCs w:val="30"/>
        </w:rPr>
        <w:t>(</w:t>
      </w:r>
      <w:r>
        <w:rPr>
          <w:rFonts w:hint="eastAsia" w:ascii="微软雅黑" w:hAnsi="微软雅黑" w:eastAsia="微软雅黑" w:cs="微软雅黑"/>
          <w:color w:val="auto"/>
          <w:spacing w:val="9"/>
          <w:position w:val="-1"/>
          <w:sz w:val="30"/>
          <w:szCs w:val="30"/>
          <w:lang w:val="en-US" w:eastAsia="zh-CN"/>
        </w:rPr>
        <w:t>一</w:t>
      </w:r>
      <w:r>
        <w:rPr>
          <w:rFonts w:ascii="微软雅黑" w:hAnsi="微软雅黑" w:eastAsia="微软雅黑" w:cs="微软雅黑"/>
          <w:color w:val="auto"/>
          <w:spacing w:val="9"/>
          <w:position w:val="-1"/>
          <w:sz w:val="30"/>
          <w:szCs w:val="30"/>
        </w:rPr>
        <w:t>)</w:t>
      </w:r>
      <w:r>
        <w:rPr>
          <w:rFonts w:hint="eastAsia" w:ascii="微软雅黑" w:hAnsi="微软雅黑" w:eastAsia="微软雅黑" w:cs="微软雅黑"/>
          <w:color w:val="auto"/>
          <w:spacing w:val="9"/>
          <w:position w:val="-1"/>
          <w:sz w:val="30"/>
          <w:szCs w:val="30"/>
          <w:lang w:val="en-US" w:eastAsia="zh-CN"/>
        </w:rPr>
        <w:t>竞赛环境要求</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23" w:right="67" w:firstLine="541"/>
        <w:jc w:val="left"/>
        <w:textAlignment w:val="baseline"/>
        <w:rPr>
          <w:rFonts w:hint="eastAsia"/>
          <w:color w:val="auto"/>
          <w:spacing w:val="-11"/>
        </w:rPr>
      </w:pPr>
      <w:r>
        <w:rPr>
          <w:rFonts w:hint="eastAsia"/>
          <w:color w:val="auto"/>
          <w:spacing w:val="-11"/>
        </w:rPr>
        <w:t>竞赛场地为标准计算机机房或同等环境下，竞赛场地为室内场馆</w:t>
      </w:r>
      <w:r>
        <w:rPr>
          <w:rFonts w:hint="eastAsia"/>
          <w:color w:val="auto"/>
          <w:spacing w:val="-11"/>
          <w:lang w:eastAsia="zh-CN"/>
        </w:rPr>
        <w:t>，</w:t>
      </w:r>
      <w:r>
        <w:rPr>
          <w:rFonts w:hint="eastAsia"/>
          <w:color w:val="auto"/>
          <w:spacing w:val="-11"/>
        </w:rPr>
        <w:t>保证各参赛队在竞赛过程中不受外界干扰；竞赛现场设专门的工作室</w:t>
      </w:r>
      <w:r>
        <w:rPr>
          <w:rFonts w:hint="eastAsia"/>
          <w:color w:val="auto"/>
          <w:spacing w:val="-11"/>
          <w:lang w:eastAsia="zh-CN"/>
        </w:rPr>
        <w:t>、</w:t>
      </w:r>
      <w:r>
        <w:rPr>
          <w:rFonts w:hint="eastAsia"/>
          <w:color w:val="auto"/>
          <w:spacing w:val="-11"/>
        </w:rPr>
        <w:t>总操控台，指导老师有观战区，评委有专门席位，嘉宾观摩区等，各区不相互干扰；竞赛时计算机USB接口全部封闭，安装有监控设备，比赛环境安全、安静无干扰。</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23" w:right="67" w:firstLine="541"/>
        <w:jc w:val="left"/>
        <w:textAlignment w:val="baseline"/>
        <w:rPr>
          <w:color w:val="auto"/>
        </w:rPr>
      </w:pPr>
      <w:r>
        <w:rPr>
          <w:rFonts w:hint="eastAsia"/>
          <w:color w:val="auto"/>
          <w:spacing w:val="-11"/>
        </w:rPr>
        <w:t>竞赛时每位参赛选手配置1台计算机。所有计算机设备应为相同（或相近）配置，赛场应按10%的比例配置备用机，备用机配置应与竞赛用计算机配置完全相同。</w:t>
      </w:r>
    </w:p>
    <w:p>
      <w:pPr>
        <w:pStyle w:val="2"/>
        <w:bidi w:val="0"/>
        <w:ind w:left="0" w:leftChars="0" w:right="0" w:rightChars="0" w:firstLine="0" w:firstLineChars="0"/>
        <w:jc w:val="center"/>
        <w:rPr>
          <w:b/>
          <w:bCs/>
          <w:sz w:val="28"/>
          <w:szCs w:val="28"/>
        </w:rPr>
      </w:pPr>
      <w:r>
        <w:rPr>
          <w:b/>
          <w:bCs/>
          <w:sz w:val="28"/>
          <w:szCs w:val="28"/>
        </w:rPr>
        <w:t>计算机配置要求</w:t>
      </w:r>
    </w:p>
    <w:p>
      <w:pPr>
        <w:pStyle w:val="2"/>
        <w:bidi w:val="0"/>
        <w:ind w:left="0" w:leftChars="0" w:right="0" w:rightChars="0" w:firstLine="0" w:firstLineChars="0"/>
        <w:jc w:val="center"/>
        <w:rPr>
          <w:b/>
          <w:bCs/>
          <w:sz w:val="28"/>
          <w:szCs w:val="28"/>
        </w:rPr>
      </w:pPr>
    </w:p>
    <w:tbl>
      <w:tblPr>
        <w:tblStyle w:val="6"/>
        <w:tblW w:w="8528"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07"/>
        <w:gridCol w:w="1682"/>
        <w:gridCol w:w="573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0" w:hRule="atLeast"/>
        </w:trPr>
        <w:tc>
          <w:tcPr>
            <w:tcW w:w="1107" w:type="dxa"/>
            <w:vAlign w:val="center"/>
          </w:tcPr>
          <w:p>
            <w:pPr>
              <w:pStyle w:val="2"/>
              <w:bidi w:val="0"/>
              <w:ind w:left="0" w:leftChars="0" w:right="0" w:rightChars="0" w:firstLine="0" w:firstLineChars="0"/>
              <w:jc w:val="center"/>
              <w:rPr>
                <w:b/>
                <w:bCs/>
                <w:sz w:val="28"/>
                <w:szCs w:val="28"/>
              </w:rPr>
            </w:pPr>
            <w:r>
              <w:rPr>
                <w:b/>
                <w:bCs/>
                <w:sz w:val="28"/>
                <w:szCs w:val="28"/>
              </w:rPr>
              <w:t>序号</w:t>
            </w:r>
          </w:p>
        </w:tc>
        <w:tc>
          <w:tcPr>
            <w:tcW w:w="1682" w:type="dxa"/>
            <w:vAlign w:val="center"/>
          </w:tcPr>
          <w:p>
            <w:pPr>
              <w:pStyle w:val="2"/>
              <w:bidi w:val="0"/>
              <w:ind w:left="0" w:leftChars="0" w:right="0" w:rightChars="0" w:firstLine="0" w:firstLineChars="0"/>
              <w:jc w:val="center"/>
              <w:rPr>
                <w:b/>
                <w:bCs/>
                <w:sz w:val="28"/>
                <w:szCs w:val="28"/>
              </w:rPr>
            </w:pPr>
            <w:r>
              <w:rPr>
                <w:b/>
                <w:bCs/>
                <w:sz w:val="28"/>
                <w:szCs w:val="28"/>
              </w:rPr>
              <w:t>名称</w:t>
            </w:r>
          </w:p>
        </w:tc>
        <w:tc>
          <w:tcPr>
            <w:tcW w:w="5739" w:type="dxa"/>
            <w:vAlign w:val="center"/>
          </w:tcPr>
          <w:p>
            <w:pPr>
              <w:pStyle w:val="2"/>
              <w:bidi w:val="0"/>
              <w:ind w:left="0" w:leftChars="0" w:right="0" w:rightChars="0" w:firstLine="0" w:firstLineChars="0"/>
              <w:jc w:val="center"/>
              <w:rPr>
                <w:b/>
                <w:bCs/>
                <w:sz w:val="28"/>
                <w:szCs w:val="28"/>
              </w:rPr>
            </w:pPr>
            <w:r>
              <w:rPr>
                <w:b/>
                <w:bCs/>
                <w:sz w:val="28"/>
                <w:szCs w:val="28"/>
              </w:rPr>
              <w:t>参数要求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5" w:hRule="atLeast"/>
        </w:trPr>
        <w:tc>
          <w:tcPr>
            <w:tcW w:w="1107"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168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Times New Roman" w:hAnsi="Times New Roman" w:eastAsia="Times New Roman" w:cs="Times New Roman"/>
                <w:color w:val="auto"/>
                <w:sz w:val="24"/>
                <w:szCs w:val="24"/>
              </w:rPr>
            </w:pPr>
            <w:r>
              <w:rPr>
                <w:rFonts w:ascii="Times New Roman" w:hAnsi="Times New Roman" w:eastAsia="Times New Roman" w:cs="Times New Roman"/>
                <w:color w:val="auto"/>
                <w:spacing w:val="-3"/>
                <w:sz w:val="24"/>
                <w:szCs w:val="24"/>
              </w:rPr>
              <w:t>CPU</w:t>
            </w:r>
          </w:p>
        </w:tc>
        <w:tc>
          <w:tcPr>
            <w:tcW w:w="5739" w:type="dxa"/>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color w:val="auto"/>
              </w:rPr>
            </w:pPr>
            <w:r>
              <w:rPr>
                <w:rFonts w:ascii="Times New Roman" w:hAnsi="Times New Roman" w:eastAsia="Times New Roman" w:cs="Times New Roman"/>
                <w:color w:val="auto"/>
                <w:spacing w:val="-4"/>
              </w:rPr>
              <w:t>Intel</w:t>
            </w:r>
            <w:r>
              <w:rPr>
                <w:color w:val="auto"/>
                <w:spacing w:val="-4"/>
              </w:rPr>
              <w:t>酷睿</w:t>
            </w:r>
            <w:r>
              <w:rPr>
                <w:rFonts w:ascii="Times New Roman" w:hAnsi="Times New Roman" w:eastAsia="Times New Roman" w:cs="Times New Roman"/>
                <w:color w:val="auto"/>
                <w:spacing w:val="-4"/>
              </w:rPr>
              <w:t>i5</w:t>
            </w:r>
            <w:r>
              <w:rPr>
                <w:color w:val="auto"/>
                <w:spacing w:val="-4"/>
              </w:rPr>
              <w:t>处理器及以上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5" w:hRule="atLeast"/>
        </w:trPr>
        <w:tc>
          <w:tcPr>
            <w:tcW w:w="1107"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1682" w:type="dxa"/>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color w:val="auto"/>
              </w:rPr>
            </w:pPr>
            <w:r>
              <w:rPr>
                <w:color w:val="auto"/>
                <w:spacing w:val="-13"/>
              </w:rPr>
              <w:t>显卡</w:t>
            </w:r>
          </w:p>
        </w:tc>
        <w:tc>
          <w:tcPr>
            <w:tcW w:w="5739" w:type="dxa"/>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color w:val="auto"/>
              </w:rPr>
            </w:pPr>
            <w:r>
              <w:rPr>
                <w:color w:val="auto"/>
                <w:spacing w:val="-5"/>
              </w:rPr>
              <w:t>独立显卡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5" w:hRule="atLeast"/>
        </w:trPr>
        <w:tc>
          <w:tcPr>
            <w:tcW w:w="1107"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w:t>
            </w:r>
          </w:p>
        </w:tc>
        <w:tc>
          <w:tcPr>
            <w:tcW w:w="1682" w:type="dxa"/>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color w:val="auto"/>
              </w:rPr>
            </w:pPr>
            <w:r>
              <w:rPr>
                <w:color w:val="auto"/>
                <w:spacing w:val="-22"/>
              </w:rPr>
              <w:t>内存</w:t>
            </w:r>
          </w:p>
        </w:tc>
        <w:tc>
          <w:tcPr>
            <w:tcW w:w="5739" w:type="dxa"/>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color w:val="auto"/>
              </w:rPr>
            </w:pPr>
            <w:r>
              <w:rPr>
                <w:rFonts w:ascii="Times New Roman" w:hAnsi="Times New Roman" w:eastAsia="Times New Roman" w:cs="Times New Roman"/>
                <w:color w:val="auto"/>
                <w:spacing w:val="-15"/>
              </w:rPr>
              <w:t>8G</w:t>
            </w:r>
            <w:r>
              <w:rPr>
                <w:color w:val="auto"/>
                <w:spacing w:val="-15"/>
              </w:rPr>
              <w:t>以上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5" w:hRule="atLeast"/>
        </w:trPr>
        <w:tc>
          <w:tcPr>
            <w:tcW w:w="1107"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1682" w:type="dxa"/>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color w:val="auto"/>
              </w:rPr>
            </w:pPr>
            <w:r>
              <w:rPr>
                <w:color w:val="auto"/>
                <w:spacing w:val="-3"/>
              </w:rPr>
              <w:t>硬盘</w:t>
            </w:r>
          </w:p>
        </w:tc>
        <w:tc>
          <w:tcPr>
            <w:tcW w:w="5739" w:type="dxa"/>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color w:val="auto"/>
              </w:rPr>
            </w:pPr>
            <w:r>
              <w:rPr>
                <w:color w:val="auto"/>
                <w:spacing w:val="-5"/>
              </w:rPr>
              <w:t>系统盘剩余可用存储空间</w:t>
            </w:r>
            <w:r>
              <w:rPr>
                <w:rFonts w:ascii="Times New Roman" w:hAnsi="Times New Roman" w:eastAsia="Times New Roman" w:cs="Times New Roman"/>
                <w:color w:val="auto"/>
                <w:spacing w:val="-5"/>
              </w:rPr>
              <w:t>50G</w:t>
            </w:r>
            <w:r>
              <w:rPr>
                <w:color w:val="auto"/>
                <w:spacing w:val="-5"/>
              </w:rPr>
              <w:t>以上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6" w:hRule="atLeast"/>
        </w:trPr>
        <w:tc>
          <w:tcPr>
            <w:tcW w:w="1107"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5</w:t>
            </w:r>
          </w:p>
        </w:tc>
        <w:tc>
          <w:tcPr>
            <w:tcW w:w="1682" w:type="dxa"/>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color w:val="auto"/>
              </w:rPr>
            </w:pPr>
            <w:r>
              <w:rPr>
                <w:color w:val="auto"/>
                <w:spacing w:val="-18"/>
              </w:rPr>
              <w:t>网卡</w:t>
            </w:r>
          </w:p>
        </w:tc>
        <w:tc>
          <w:tcPr>
            <w:tcW w:w="5739" w:type="dxa"/>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color w:val="auto"/>
              </w:rPr>
            </w:pPr>
            <w:r>
              <w:rPr>
                <w:rFonts w:ascii="Times New Roman" w:hAnsi="Times New Roman" w:eastAsia="Times New Roman" w:cs="Times New Roman"/>
                <w:color w:val="auto"/>
                <w:spacing w:val="-6"/>
              </w:rPr>
              <w:t>100M/1000M</w:t>
            </w:r>
            <w:r>
              <w:rPr>
                <w:color w:val="auto"/>
                <w:spacing w:val="-6"/>
              </w:rPr>
              <w:t>自适应卡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6" w:hRule="atLeast"/>
        </w:trPr>
        <w:tc>
          <w:tcPr>
            <w:tcW w:w="1107"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w:t>
            </w:r>
          </w:p>
        </w:tc>
        <w:tc>
          <w:tcPr>
            <w:tcW w:w="1682" w:type="dxa"/>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color w:val="auto"/>
              </w:rPr>
            </w:pPr>
            <w:r>
              <w:rPr>
                <w:color w:val="auto"/>
                <w:spacing w:val="-4"/>
              </w:rPr>
              <w:t>操作系统</w:t>
            </w:r>
          </w:p>
        </w:tc>
        <w:tc>
          <w:tcPr>
            <w:tcW w:w="5739"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Times New Roman" w:hAnsi="Times New Roman" w:eastAsia="Times New Roman" w:cs="Times New Roman"/>
                <w:color w:val="auto"/>
                <w:sz w:val="24"/>
                <w:szCs w:val="24"/>
              </w:rPr>
            </w:pPr>
            <w:r>
              <w:rPr>
                <w:rFonts w:ascii="Times New Roman" w:hAnsi="Times New Roman" w:eastAsia="Times New Roman" w:cs="Times New Roman"/>
                <w:color w:val="auto"/>
                <w:spacing w:val="-1"/>
                <w:sz w:val="24"/>
                <w:szCs w:val="24"/>
              </w:rPr>
              <w:t>Windows7/10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0" w:hRule="atLeast"/>
        </w:trPr>
        <w:tc>
          <w:tcPr>
            <w:tcW w:w="1107"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7</w:t>
            </w:r>
          </w:p>
        </w:tc>
        <w:tc>
          <w:tcPr>
            <w:tcW w:w="1682" w:type="dxa"/>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color w:val="auto"/>
              </w:rPr>
            </w:pPr>
            <w:r>
              <w:rPr>
                <w:color w:val="auto"/>
                <w:spacing w:val="-18"/>
              </w:rPr>
              <w:t>网络</w:t>
            </w:r>
          </w:p>
        </w:tc>
        <w:tc>
          <w:tcPr>
            <w:tcW w:w="5739" w:type="dxa"/>
            <w:vAlign w:val="center"/>
          </w:tcPr>
          <w:p>
            <w:pPr>
              <w:pStyle w:val="7"/>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color w:val="auto"/>
                <w:sz w:val="28"/>
                <w:szCs w:val="28"/>
              </w:rPr>
            </w:pPr>
            <w:r>
              <w:rPr>
                <w:color w:val="auto"/>
                <w:spacing w:val="-8"/>
                <w:sz w:val="28"/>
                <w:szCs w:val="28"/>
              </w:rPr>
              <w:t>局域网</w:t>
            </w:r>
          </w:p>
        </w:tc>
      </w:tr>
    </w:tbl>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33" w:right="111" w:firstLine="519"/>
        <w:jc w:val="left"/>
        <w:textAlignment w:val="baseline"/>
        <w:rPr>
          <w:color w:val="auto"/>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808"/>
        <w:jc w:val="left"/>
        <w:textAlignment w:val="baseline"/>
        <w:outlineLvl w:val="1"/>
        <w:rPr>
          <w:rFonts w:ascii="Arial"/>
          <w:color w:val="auto"/>
          <w:sz w:val="21"/>
        </w:rPr>
      </w:pPr>
      <w:r>
        <w:rPr>
          <w:rFonts w:ascii="微软雅黑" w:hAnsi="微软雅黑" w:eastAsia="微软雅黑" w:cs="微软雅黑"/>
          <w:color w:val="auto"/>
          <w:spacing w:val="9"/>
          <w:position w:val="-1"/>
          <w:sz w:val="30"/>
          <w:szCs w:val="30"/>
        </w:rPr>
        <w:t>(</w:t>
      </w:r>
      <w:r>
        <w:rPr>
          <w:rFonts w:hint="eastAsia" w:ascii="微软雅黑" w:hAnsi="微软雅黑" w:eastAsia="微软雅黑" w:cs="微软雅黑"/>
          <w:color w:val="auto"/>
          <w:spacing w:val="9"/>
          <w:position w:val="-1"/>
          <w:sz w:val="30"/>
          <w:szCs w:val="30"/>
          <w:lang w:val="en-US" w:eastAsia="zh-CN"/>
        </w:rPr>
        <w:t>二</w:t>
      </w:r>
      <w:r>
        <w:rPr>
          <w:rFonts w:ascii="微软雅黑" w:hAnsi="微软雅黑" w:eastAsia="微软雅黑" w:cs="微软雅黑"/>
          <w:color w:val="auto"/>
          <w:spacing w:val="9"/>
          <w:position w:val="-1"/>
          <w:sz w:val="30"/>
          <w:szCs w:val="30"/>
        </w:rPr>
        <w:t>)技术平台</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24" w:firstLineChars="200"/>
        <w:jc w:val="left"/>
        <w:textAlignment w:val="baseline"/>
        <w:rPr>
          <w:rFonts w:hint="eastAsia"/>
          <w:color w:val="auto"/>
          <w:spacing w:val="-9"/>
          <w:lang w:eastAsia="zh-CN"/>
        </w:rPr>
      </w:pPr>
      <w:r>
        <w:rPr>
          <w:rFonts w:hint="eastAsia"/>
          <w:color w:val="auto"/>
          <w:spacing w:val="-9"/>
        </w:rPr>
        <w:t>竞赛平台采用</w:t>
      </w:r>
      <w:r>
        <w:rPr>
          <w:rFonts w:hint="eastAsia"/>
          <w:color w:val="auto"/>
          <w:spacing w:val="-9"/>
          <w:lang w:val="en-US" w:eastAsia="zh-CN"/>
        </w:rPr>
        <w:t>真道智享装配式建筑构件安装考试平台</w:t>
      </w:r>
      <w:r>
        <w:rPr>
          <w:rFonts w:hint="eastAsia"/>
          <w:color w:val="auto"/>
          <w:spacing w:val="-9"/>
        </w:rPr>
        <w:t>，</w:t>
      </w:r>
      <w:r>
        <w:rPr>
          <w:rFonts w:hint="eastAsia" w:ascii="宋体" w:hAnsi="宋体"/>
        </w:rPr>
        <w:t>符合</w:t>
      </w:r>
      <w:r>
        <w:rPr>
          <w:color w:val="auto"/>
          <w:spacing w:val="-3"/>
        </w:rPr>
        <w:t>装配式建筑</w:t>
      </w:r>
      <w:r>
        <w:rPr>
          <w:rFonts w:hint="eastAsia"/>
          <w:color w:val="auto"/>
          <w:spacing w:val="-3"/>
          <w:lang w:val="en-US" w:eastAsia="zh-CN"/>
        </w:rPr>
        <w:t>构件安装赛项规程要求。</w:t>
      </w:r>
      <w:r>
        <w:rPr>
          <w:rFonts w:hint="eastAsia"/>
          <w:color w:val="auto"/>
          <w:spacing w:val="-9"/>
          <w:lang w:val="en-US" w:eastAsia="zh-CN"/>
        </w:rPr>
        <w:t>平台是住房城乡建设领域专业技能培训装配式建筑考试官方指定平台，是</w:t>
      </w:r>
      <w:r>
        <w:rPr>
          <w:rFonts w:hint="eastAsia"/>
          <w:color w:val="auto"/>
          <w:spacing w:val="-9"/>
        </w:rPr>
        <w:t>《1+X装配式建筑构件制作与安装职业技能等级证书》指定科目一考试平台</w:t>
      </w:r>
      <w:r>
        <w:rPr>
          <w:rFonts w:hint="eastAsia"/>
          <w:color w:val="auto"/>
          <w:spacing w:val="-9"/>
          <w:lang w:eastAsia="zh-CN"/>
        </w:rPr>
        <w:t>，</w:t>
      </w:r>
      <w:r>
        <w:rPr>
          <w:rFonts w:hint="eastAsia"/>
          <w:color w:val="auto"/>
          <w:spacing w:val="-9"/>
          <w:lang w:val="en-US" w:eastAsia="zh-CN"/>
        </w:rPr>
        <w:t>已成功应用于湖北省、云南省、江西省等</w:t>
      </w:r>
      <w:r>
        <w:rPr>
          <w:rFonts w:hint="eastAsia" w:ascii="宋体" w:hAnsi="宋体"/>
        </w:rPr>
        <w:t>不同省份多届教育厅职业院校省赛。</w:t>
      </w:r>
      <w:r>
        <w:rPr>
          <w:rFonts w:hint="eastAsia" w:ascii="宋体" w:hAnsi="宋体"/>
          <w:lang w:val="en-US" w:eastAsia="zh-CN"/>
        </w:rPr>
        <w:t>平台符合国家</w:t>
      </w:r>
      <w:r>
        <w:rPr>
          <w:rFonts w:hint="eastAsia" w:ascii="宋体" w:hAnsi="宋体"/>
        </w:rPr>
        <w:t>行业规范、满足职业院校人才需求、打通了“岗、课、赛、证”融通的装配式教学模式。通过虚拟仿真技术和虚拟结合技术，完成了装配式施工多案例、多场景、知识点丰富、全流程模拟的设计与研发，以贴近岗位实操模拟的效果体现出竞赛的先进性和专业性。</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8"/>
        <w:jc w:val="left"/>
        <w:textAlignment w:val="baseline"/>
        <w:outlineLvl w:val="0"/>
        <w:rPr>
          <w:rFonts w:ascii="微软雅黑" w:hAnsi="微软雅黑" w:eastAsia="微软雅黑" w:cs="微软雅黑"/>
          <w:color w:val="auto"/>
          <w:sz w:val="30"/>
          <w:szCs w:val="30"/>
        </w:rPr>
      </w:pPr>
      <w:r>
        <w:rPr>
          <w:rFonts w:ascii="微软雅黑" w:hAnsi="微软雅黑" w:eastAsia="微软雅黑" w:cs="微软雅黑"/>
          <w:color w:val="auto"/>
          <w:spacing w:val="4"/>
          <w:sz w:val="30"/>
          <w:szCs w:val="30"/>
        </w:rPr>
        <w:t>十、竞赛样题</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0" w:firstLine="532" w:firstLineChars="200"/>
        <w:jc w:val="left"/>
        <w:textAlignment w:val="baseline"/>
        <w:rPr>
          <w:color w:val="auto"/>
        </w:rPr>
      </w:pPr>
      <w:r>
        <w:rPr>
          <w:color w:val="auto"/>
          <w:spacing w:val="-7"/>
        </w:rPr>
        <w:t>竞赛样题详见“附件</w:t>
      </w:r>
      <w:r>
        <w:rPr>
          <w:rFonts w:ascii="Times New Roman" w:hAnsi="Times New Roman" w:eastAsia="Times New Roman" w:cs="Times New Roman"/>
          <w:color w:val="auto"/>
          <w:spacing w:val="-7"/>
        </w:rPr>
        <w:t>1</w:t>
      </w:r>
      <w:r>
        <w:rPr>
          <w:color w:val="auto"/>
          <w:spacing w:val="-7"/>
        </w:rPr>
        <w:t>：装配式建筑智能建造</w:t>
      </w:r>
      <w:r>
        <w:rPr>
          <w:color w:val="auto"/>
          <w:spacing w:val="-8"/>
        </w:rPr>
        <w:t>赛项样卷”。</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8"/>
        <w:jc w:val="left"/>
        <w:textAlignment w:val="baseline"/>
        <w:outlineLvl w:val="0"/>
        <w:rPr>
          <w:rFonts w:ascii="微软雅黑" w:hAnsi="微软雅黑" w:eastAsia="微软雅黑" w:cs="微软雅黑"/>
          <w:color w:val="auto"/>
          <w:sz w:val="30"/>
          <w:szCs w:val="30"/>
        </w:rPr>
      </w:pPr>
      <w:r>
        <w:rPr>
          <w:rFonts w:ascii="微软雅黑" w:hAnsi="微软雅黑" w:eastAsia="微软雅黑" w:cs="微软雅黑"/>
          <w:color w:val="auto"/>
          <w:spacing w:val="2"/>
          <w:sz w:val="30"/>
          <w:szCs w:val="30"/>
        </w:rPr>
        <w:t>十一、赛项安全</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8" w:right="328" w:firstLine="574"/>
        <w:jc w:val="left"/>
        <w:textAlignment w:val="baseline"/>
        <w:rPr>
          <w:rFonts w:hint="eastAsia"/>
          <w:color w:val="auto"/>
          <w:spacing w:val="3"/>
        </w:rPr>
      </w:pPr>
      <w:r>
        <w:rPr>
          <w:rFonts w:hint="eastAsia"/>
          <w:color w:val="auto"/>
          <w:spacing w:val="3"/>
        </w:rPr>
        <w:t>赛事安全是技能竞赛一切工作顺利开展的先决条件，是赛事筹备和运行工作必须考虑的核心问题。赛项执委会采取切实有效措施保证大赛期间参赛选手、裁判员、工作人员及观众的人身安全。</w:t>
      </w:r>
    </w:p>
    <w:p>
      <w:pPr>
        <w:keepNext w:val="0"/>
        <w:keepLines w:val="0"/>
        <w:pageBreakBefore w:val="0"/>
        <w:widowControl/>
        <w:kinsoku w:val="0"/>
        <w:wordWrap/>
        <w:overflowPunct/>
        <w:topLinePunct w:val="0"/>
        <w:autoSpaceDE w:val="0"/>
        <w:autoSpaceDN w:val="0"/>
        <w:bidi w:val="0"/>
        <w:adjustRightInd w:val="0"/>
        <w:snapToGrid w:val="0"/>
        <w:spacing w:line="360" w:lineRule="auto"/>
        <w:ind w:left="808"/>
        <w:jc w:val="left"/>
        <w:textAlignment w:val="baseline"/>
        <w:outlineLvl w:val="1"/>
        <w:rPr>
          <w:rFonts w:hint="default" w:ascii="Arial" w:eastAsia="微软雅黑"/>
          <w:color w:val="auto"/>
          <w:sz w:val="21"/>
          <w:lang w:val="en-US" w:eastAsia="zh-CN"/>
        </w:rPr>
      </w:pPr>
      <w:r>
        <w:rPr>
          <w:rFonts w:ascii="微软雅黑" w:hAnsi="微软雅黑" w:eastAsia="微软雅黑" w:cs="微软雅黑"/>
          <w:color w:val="auto"/>
          <w:spacing w:val="9"/>
          <w:position w:val="-1"/>
          <w:sz w:val="30"/>
          <w:szCs w:val="30"/>
        </w:rPr>
        <w:t>(</w:t>
      </w:r>
      <w:r>
        <w:rPr>
          <w:rFonts w:hint="eastAsia" w:ascii="微软雅黑" w:hAnsi="微软雅黑" w:eastAsia="微软雅黑" w:cs="微软雅黑"/>
          <w:color w:val="auto"/>
          <w:spacing w:val="9"/>
          <w:position w:val="-1"/>
          <w:sz w:val="30"/>
          <w:szCs w:val="30"/>
          <w:lang w:val="en-US" w:eastAsia="zh-CN"/>
        </w:rPr>
        <w:t>一</w:t>
      </w:r>
      <w:r>
        <w:rPr>
          <w:rFonts w:ascii="微软雅黑" w:hAnsi="微软雅黑" w:eastAsia="微软雅黑" w:cs="微软雅黑"/>
          <w:color w:val="auto"/>
          <w:spacing w:val="9"/>
          <w:position w:val="-1"/>
          <w:sz w:val="30"/>
          <w:szCs w:val="30"/>
        </w:rPr>
        <w:t>)</w:t>
      </w:r>
      <w:r>
        <w:rPr>
          <w:rFonts w:hint="eastAsia" w:ascii="微软雅黑" w:hAnsi="微软雅黑" w:eastAsia="微软雅黑" w:cs="微软雅黑"/>
          <w:color w:val="auto"/>
          <w:spacing w:val="9"/>
          <w:position w:val="-1"/>
          <w:sz w:val="30"/>
          <w:szCs w:val="30"/>
          <w:lang w:val="en-US" w:eastAsia="zh-CN"/>
        </w:rPr>
        <w:t>比赛环境</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328" w:firstLine="572" w:firstLineChars="200"/>
        <w:jc w:val="left"/>
        <w:textAlignment w:val="baseline"/>
        <w:rPr>
          <w:rFonts w:hint="eastAsia" w:eastAsia="仿宋"/>
          <w:color w:val="auto"/>
          <w:spacing w:val="3"/>
          <w:lang w:val="en-US" w:eastAsia="zh-CN"/>
        </w:rPr>
      </w:pPr>
      <w:r>
        <w:rPr>
          <w:rFonts w:hint="eastAsia" w:eastAsia="仿宋"/>
          <w:color w:val="auto"/>
          <w:spacing w:val="3"/>
          <w:lang w:val="en-US" w:eastAsia="zh-CN"/>
        </w:rPr>
        <w:t>1</w:t>
      </w:r>
      <w:r>
        <w:rPr>
          <w:rFonts w:hint="eastAsia"/>
          <w:color w:val="auto"/>
          <w:spacing w:val="3"/>
          <w:lang w:val="en-US" w:eastAsia="zh-CN"/>
        </w:rPr>
        <w:t>.</w:t>
      </w:r>
      <w:r>
        <w:rPr>
          <w:rFonts w:hint="eastAsia" w:eastAsia="仿宋"/>
          <w:color w:val="auto"/>
          <w:spacing w:val="3"/>
          <w:lang w:val="en-US" w:eastAsia="zh-CN"/>
        </w:rPr>
        <w:t>执委会须在赛前组织专人对比赛现场、住宿场所和交通保障进行考察，并对安全工作提出明确要求。赛场的布置，赛场内的器材、设备，应符合国家有关安全规定。承办单位赛前须按照执委会要求排除安全隐患。</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328" w:firstLine="572" w:firstLineChars="200"/>
        <w:jc w:val="left"/>
        <w:textAlignment w:val="baseline"/>
        <w:rPr>
          <w:rFonts w:hint="eastAsia" w:eastAsia="仿宋"/>
          <w:color w:val="auto"/>
          <w:spacing w:val="3"/>
          <w:lang w:val="en-US" w:eastAsia="zh-CN"/>
        </w:rPr>
      </w:pPr>
      <w:r>
        <w:rPr>
          <w:rFonts w:hint="eastAsia" w:eastAsia="仿宋"/>
          <w:color w:val="auto"/>
          <w:spacing w:val="3"/>
          <w:lang w:val="en-US" w:eastAsia="zh-CN"/>
        </w:rPr>
        <w:t>2</w:t>
      </w:r>
      <w:r>
        <w:rPr>
          <w:rFonts w:hint="eastAsia"/>
          <w:color w:val="auto"/>
          <w:spacing w:val="3"/>
          <w:lang w:val="en-US" w:eastAsia="zh-CN"/>
        </w:rPr>
        <w:t>.</w:t>
      </w:r>
      <w:r>
        <w:rPr>
          <w:rFonts w:hint="eastAsia" w:eastAsia="仿宋"/>
          <w:color w:val="auto"/>
          <w:spacing w:val="3"/>
          <w:lang w:val="en-US" w:eastAsia="zh-CN"/>
        </w:rPr>
        <w:t>赛场周围要设立警戒线，防止无关人员进入发生意外事件。比赛现场内应参照相关职业岗位的要求为选手提供必要的劳动保护。在具有危险性的操作环节，裁判员要严防选手出现错误操作。</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328" w:firstLine="572" w:firstLineChars="200"/>
        <w:jc w:val="left"/>
        <w:textAlignment w:val="baseline"/>
        <w:rPr>
          <w:rFonts w:hint="eastAsia" w:eastAsia="仿宋"/>
          <w:color w:val="auto"/>
          <w:spacing w:val="3"/>
          <w:lang w:val="en-US" w:eastAsia="zh-CN"/>
        </w:rPr>
      </w:pPr>
      <w:r>
        <w:rPr>
          <w:rFonts w:hint="eastAsia" w:eastAsia="仿宋"/>
          <w:color w:val="auto"/>
          <w:spacing w:val="3"/>
          <w:lang w:val="en-US" w:eastAsia="zh-CN"/>
        </w:rPr>
        <w:t>3</w:t>
      </w:r>
      <w:r>
        <w:rPr>
          <w:rFonts w:hint="eastAsia"/>
          <w:color w:val="auto"/>
          <w:spacing w:val="3"/>
          <w:lang w:val="en-US" w:eastAsia="zh-CN"/>
        </w:rPr>
        <w:t>.</w:t>
      </w:r>
      <w:r>
        <w:rPr>
          <w:rFonts w:hint="eastAsia" w:eastAsia="仿宋"/>
          <w:color w:val="auto"/>
          <w:spacing w:val="3"/>
          <w:lang w:val="en-US" w:eastAsia="zh-CN"/>
        </w:rPr>
        <w:t>承办单位应提供保证应急预案实施的条件。对于比赛内容涉及高空作业、可能有坠物、大用电量、易发生火灾等情况的赛项，必须明确制度和预案，并配备急救人员与设施。</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328" w:firstLine="572" w:firstLineChars="200"/>
        <w:jc w:val="left"/>
        <w:textAlignment w:val="baseline"/>
        <w:rPr>
          <w:rFonts w:hint="eastAsia" w:eastAsia="仿宋"/>
          <w:color w:val="auto"/>
          <w:spacing w:val="3"/>
          <w:lang w:val="en-US" w:eastAsia="zh-CN"/>
        </w:rPr>
      </w:pPr>
      <w:r>
        <w:rPr>
          <w:rFonts w:hint="eastAsia" w:eastAsia="仿宋"/>
          <w:color w:val="auto"/>
          <w:spacing w:val="3"/>
          <w:lang w:val="en-US" w:eastAsia="zh-CN"/>
        </w:rPr>
        <w:t>4</w:t>
      </w:r>
      <w:r>
        <w:rPr>
          <w:rFonts w:hint="eastAsia"/>
          <w:color w:val="auto"/>
          <w:spacing w:val="3"/>
          <w:lang w:val="en-US" w:eastAsia="zh-CN"/>
        </w:rPr>
        <w:t>.</w:t>
      </w:r>
      <w:r>
        <w:rPr>
          <w:rFonts w:hint="eastAsia" w:eastAsia="仿宋"/>
          <w:color w:val="auto"/>
          <w:spacing w:val="3"/>
          <w:lang w:val="en-US" w:eastAsia="zh-CN"/>
        </w:rPr>
        <w:t>执委会须会同承办单位制定开放赛场和体验区的人员疏导方案。赛场环境中存在人员密集、车流人流交错的区域，除了设置齐全的指示标志外，须增加引导人员，并开辟备用通道。</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328" w:firstLine="572" w:firstLineChars="200"/>
        <w:jc w:val="left"/>
        <w:textAlignment w:val="baseline"/>
        <w:rPr>
          <w:rFonts w:hint="eastAsia" w:eastAsia="仿宋"/>
          <w:color w:val="auto"/>
          <w:spacing w:val="3"/>
          <w:lang w:val="en-US" w:eastAsia="zh-CN"/>
        </w:rPr>
      </w:pPr>
      <w:r>
        <w:rPr>
          <w:rFonts w:hint="eastAsia" w:eastAsia="仿宋"/>
          <w:color w:val="auto"/>
          <w:spacing w:val="3"/>
          <w:lang w:val="en-US" w:eastAsia="zh-CN"/>
        </w:rPr>
        <w:t>5</w:t>
      </w:r>
      <w:r>
        <w:rPr>
          <w:rFonts w:hint="eastAsia"/>
          <w:color w:val="auto"/>
          <w:spacing w:val="3"/>
          <w:lang w:val="en-US" w:eastAsia="zh-CN"/>
        </w:rPr>
        <w:t>.</w:t>
      </w:r>
      <w:r>
        <w:rPr>
          <w:rFonts w:hint="eastAsia" w:eastAsia="仿宋"/>
          <w:color w:val="auto"/>
          <w:spacing w:val="3"/>
          <w:lang w:val="en-US" w:eastAsia="zh-CN"/>
        </w:rPr>
        <w:t>大赛期间，承办单位须在赛场管理的关键岗位，增加力量，建立安全管理日志。</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328" w:firstLine="572" w:firstLineChars="200"/>
        <w:jc w:val="left"/>
        <w:textAlignment w:val="baseline"/>
        <w:rPr>
          <w:rFonts w:hint="eastAsia" w:eastAsia="仿宋"/>
          <w:color w:val="auto"/>
          <w:spacing w:val="3"/>
          <w:lang w:val="en-US" w:eastAsia="zh-CN"/>
        </w:rPr>
      </w:pPr>
      <w:r>
        <w:rPr>
          <w:rFonts w:hint="eastAsia" w:eastAsia="仿宋"/>
          <w:color w:val="auto"/>
          <w:spacing w:val="3"/>
          <w:lang w:val="en-US" w:eastAsia="zh-CN"/>
        </w:rPr>
        <w:t>6</w:t>
      </w:r>
      <w:r>
        <w:rPr>
          <w:rFonts w:hint="eastAsia"/>
          <w:color w:val="auto"/>
          <w:spacing w:val="3"/>
          <w:lang w:val="en-US" w:eastAsia="zh-CN"/>
        </w:rPr>
        <w:t>.</w:t>
      </w:r>
      <w:r>
        <w:rPr>
          <w:rFonts w:hint="eastAsia" w:eastAsia="仿宋"/>
          <w:color w:val="auto"/>
          <w:spacing w:val="3"/>
          <w:lang w:val="en-US" w:eastAsia="zh-CN"/>
        </w:rPr>
        <w:t>参赛选手进入赛位、赛事裁判工作人员进入工作场所，严禁携带通讯、照相摄录设备，禁止携带记录用具。如确有需要，由赛场统一配置、统一管理。赛项可根据需要配置安检设备对进入赛场重要部位的人员进行安检。</w:t>
      </w:r>
    </w:p>
    <w:p>
      <w:pPr>
        <w:keepNext w:val="0"/>
        <w:keepLines w:val="0"/>
        <w:pageBreakBefore w:val="0"/>
        <w:widowControl/>
        <w:kinsoku w:val="0"/>
        <w:wordWrap/>
        <w:overflowPunct/>
        <w:topLinePunct w:val="0"/>
        <w:autoSpaceDE w:val="0"/>
        <w:autoSpaceDN w:val="0"/>
        <w:bidi w:val="0"/>
        <w:adjustRightInd w:val="0"/>
        <w:snapToGrid w:val="0"/>
        <w:spacing w:line="360" w:lineRule="auto"/>
        <w:ind w:left="808"/>
        <w:jc w:val="left"/>
        <w:textAlignment w:val="baseline"/>
        <w:outlineLvl w:val="1"/>
        <w:rPr>
          <w:rFonts w:hint="default" w:ascii="Arial" w:eastAsia="微软雅黑"/>
          <w:color w:val="auto"/>
          <w:sz w:val="21"/>
          <w:lang w:val="en-US" w:eastAsia="zh-CN"/>
        </w:rPr>
      </w:pPr>
      <w:r>
        <w:rPr>
          <w:rFonts w:ascii="微软雅黑" w:hAnsi="微软雅黑" w:eastAsia="微软雅黑" w:cs="微软雅黑"/>
          <w:color w:val="auto"/>
          <w:spacing w:val="9"/>
          <w:position w:val="-1"/>
          <w:sz w:val="30"/>
          <w:szCs w:val="30"/>
        </w:rPr>
        <w:t>(</w:t>
      </w:r>
      <w:r>
        <w:rPr>
          <w:rFonts w:hint="eastAsia" w:ascii="微软雅黑" w:hAnsi="微软雅黑" w:eastAsia="微软雅黑" w:cs="微软雅黑"/>
          <w:color w:val="auto"/>
          <w:spacing w:val="9"/>
          <w:position w:val="-1"/>
          <w:sz w:val="30"/>
          <w:szCs w:val="30"/>
          <w:lang w:val="en-US" w:eastAsia="zh-CN"/>
        </w:rPr>
        <w:t>二</w:t>
      </w:r>
      <w:r>
        <w:rPr>
          <w:rFonts w:ascii="微软雅黑" w:hAnsi="微软雅黑" w:eastAsia="微软雅黑" w:cs="微软雅黑"/>
          <w:color w:val="auto"/>
          <w:spacing w:val="9"/>
          <w:position w:val="-1"/>
          <w:sz w:val="30"/>
          <w:szCs w:val="30"/>
        </w:rPr>
        <w:t>)</w:t>
      </w:r>
      <w:r>
        <w:rPr>
          <w:rFonts w:hint="eastAsia" w:ascii="微软雅黑" w:hAnsi="微软雅黑" w:eastAsia="微软雅黑" w:cs="微软雅黑"/>
          <w:color w:val="auto"/>
          <w:spacing w:val="9"/>
          <w:position w:val="-1"/>
          <w:sz w:val="30"/>
          <w:szCs w:val="30"/>
          <w:lang w:val="en-US" w:eastAsia="zh-CN"/>
        </w:rPr>
        <w:t>生活条件</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2" w:right="296" w:firstLine="560"/>
        <w:jc w:val="left"/>
        <w:textAlignment w:val="baseline"/>
        <w:rPr>
          <w:rFonts w:hint="eastAsia"/>
          <w:color w:val="auto"/>
        </w:rPr>
      </w:pPr>
      <w:r>
        <w:rPr>
          <w:rFonts w:hint="eastAsia"/>
          <w:color w:val="auto"/>
        </w:rPr>
        <w:t>1</w:t>
      </w:r>
      <w:r>
        <w:rPr>
          <w:rFonts w:hint="eastAsia"/>
          <w:color w:val="auto"/>
          <w:lang w:val="en-US" w:eastAsia="zh-CN"/>
        </w:rPr>
        <w:t>.</w:t>
      </w:r>
      <w:r>
        <w:rPr>
          <w:rFonts w:hint="eastAsia"/>
          <w:color w:val="auto"/>
        </w:rPr>
        <w:t>比赛期间，原则上由执委会统一安排参赛选手食宿。承办单位须尊重少数民族的信仰及文化，根据国家相关的民族政策，安排好少数民族选手和教师的饮食起居。</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2" w:right="296" w:firstLine="560"/>
        <w:jc w:val="left"/>
        <w:textAlignment w:val="baseline"/>
        <w:rPr>
          <w:rFonts w:hint="eastAsia"/>
          <w:color w:val="auto"/>
        </w:rPr>
      </w:pPr>
      <w:r>
        <w:rPr>
          <w:rFonts w:hint="eastAsia"/>
          <w:color w:val="auto"/>
        </w:rPr>
        <w:t>2</w:t>
      </w:r>
      <w:r>
        <w:rPr>
          <w:rFonts w:hint="eastAsia"/>
          <w:color w:val="auto"/>
          <w:lang w:val="en-US" w:eastAsia="zh-CN"/>
        </w:rPr>
        <w:t>.</w:t>
      </w:r>
      <w:r>
        <w:rPr>
          <w:rFonts w:hint="eastAsia"/>
          <w:color w:val="auto"/>
        </w:rPr>
        <w:t>比赛期间安排的住宿地应具有宾馆/住宿经营许可资质。以学校宿舍作为住宿地的，大赛期间的住宿、卫生、饮食安全等由执委会和提供宿舍的学校共同负责。</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2" w:right="296" w:firstLine="560"/>
        <w:jc w:val="left"/>
        <w:textAlignment w:val="baseline"/>
        <w:rPr>
          <w:rFonts w:hint="eastAsia"/>
          <w:color w:val="auto"/>
        </w:rPr>
      </w:pPr>
      <w:r>
        <w:rPr>
          <w:rFonts w:hint="eastAsia"/>
          <w:color w:val="auto"/>
        </w:rPr>
        <w:t>3</w:t>
      </w:r>
      <w:r>
        <w:rPr>
          <w:rFonts w:hint="eastAsia"/>
          <w:color w:val="auto"/>
          <w:lang w:val="en-US" w:eastAsia="zh-CN"/>
        </w:rPr>
        <w:t>.</w:t>
      </w:r>
      <w:r>
        <w:rPr>
          <w:rFonts w:hint="eastAsia"/>
          <w:color w:val="auto"/>
        </w:rPr>
        <w:t>大赛期间有组织的参观和观摩活动的交通安全由执委会负责。执委会和承办单位须保证比赛期间选手和裁判员、工作人员的交通安全。</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2" w:right="296" w:firstLine="560"/>
        <w:jc w:val="left"/>
        <w:textAlignment w:val="baseline"/>
        <w:rPr>
          <w:rFonts w:hint="eastAsia"/>
          <w:color w:val="auto"/>
        </w:rPr>
      </w:pPr>
      <w:r>
        <w:rPr>
          <w:rFonts w:hint="eastAsia"/>
          <w:color w:val="auto"/>
        </w:rPr>
        <w:t>4</w:t>
      </w:r>
      <w:r>
        <w:rPr>
          <w:rFonts w:hint="eastAsia"/>
          <w:color w:val="auto"/>
          <w:lang w:val="en-US" w:eastAsia="zh-CN"/>
        </w:rPr>
        <w:t>.</w:t>
      </w:r>
      <w:r>
        <w:rPr>
          <w:rFonts w:hint="eastAsia"/>
          <w:color w:val="auto"/>
        </w:rPr>
        <w:t>各赛项的安全管理，除了可以采取必要的安全隔离措施外</w:t>
      </w:r>
      <w:r>
        <w:rPr>
          <w:rFonts w:hint="eastAsia"/>
          <w:color w:val="auto"/>
          <w:lang w:eastAsia="zh-CN"/>
        </w:rPr>
        <w:t>，</w:t>
      </w:r>
      <w:r>
        <w:rPr>
          <w:rFonts w:hint="eastAsia"/>
          <w:color w:val="auto"/>
        </w:rPr>
        <w:t>应严格遵守国家相关法律法规，保护个人隐私和人身自由。</w:t>
      </w:r>
    </w:p>
    <w:p>
      <w:pPr>
        <w:keepNext w:val="0"/>
        <w:keepLines w:val="0"/>
        <w:pageBreakBefore w:val="0"/>
        <w:widowControl/>
        <w:kinsoku w:val="0"/>
        <w:wordWrap/>
        <w:overflowPunct/>
        <w:topLinePunct w:val="0"/>
        <w:autoSpaceDE w:val="0"/>
        <w:autoSpaceDN w:val="0"/>
        <w:bidi w:val="0"/>
        <w:adjustRightInd w:val="0"/>
        <w:snapToGrid w:val="0"/>
        <w:spacing w:line="360" w:lineRule="auto"/>
        <w:ind w:left="808"/>
        <w:jc w:val="left"/>
        <w:textAlignment w:val="baseline"/>
        <w:outlineLvl w:val="1"/>
        <w:rPr>
          <w:rFonts w:hint="default" w:ascii="Arial" w:eastAsia="微软雅黑"/>
          <w:color w:val="auto"/>
          <w:sz w:val="21"/>
          <w:lang w:val="en-US" w:eastAsia="zh-CN"/>
        </w:rPr>
      </w:pPr>
      <w:r>
        <w:rPr>
          <w:rFonts w:ascii="微软雅黑" w:hAnsi="微软雅黑" w:eastAsia="微软雅黑" w:cs="微软雅黑"/>
          <w:color w:val="auto"/>
          <w:spacing w:val="9"/>
          <w:position w:val="-1"/>
          <w:sz w:val="30"/>
          <w:szCs w:val="30"/>
        </w:rPr>
        <w:t>(</w:t>
      </w:r>
      <w:r>
        <w:rPr>
          <w:rFonts w:hint="eastAsia" w:ascii="微软雅黑" w:hAnsi="微软雅黑" w:eastAsia="微软雅黑" w:cs="微软雅黑"/>
          <w:color w:val="auto"/>
          <w:spacing w:val="9"/>
          <w:position w:val="-1"/>
          <w:sz w:val="30"/>
          <w:szCs w:val="30"/>
          <w:lang w:val="en-US" w:eastAsia="zh-CN"/>
        </w:rPr>
        <w:t>三</w:t>
      </w:r>
      <w:r>
        <w:rPr>
          <w:rFonts w:ascii="微软雅黑" w:hAnsi="微软雅黑" w:eastAsia="微软雅黑" w:cs="微软雅黑"/>
          <w:color w:val="auto"/>
          <w:spacing w:val="9"/>
          <w:position w:val="-1"/>
          <w:sz w:val="30"/>
          <w:szCs w:val="30"/>
        </w:rPr>
        <w:t>)</w:t>
      </w:r>
      <w:r>
        <w:rPr>
          <w:rFonts w:hint="eastAsia" w:ascii="微软雅黑" w:hAnsi="微软雅黑" w:eastAsia="微软雅黑" w:cs="微软雅黑"/>
          <w:color w:val="auto"/>
          <w:spacing w:val="9"/>
          <w:position w:val="-1"/>
          <w:sz w:val="30"/>
          <w:szCs w:val="30"/>
          <w:lang w:val="en-US" w:eastAsia="zh-CN"/>
        </w:rPr>
        <w:t>组队责任</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2" w:right="296" w:firstLine="560"/>
        <w:jc w:val="left"/>
        <w:textAlignment w:val="baseline"/>
        <w:rPr>
          <w:rFonts w:hint="eastAsia"/>
          <w:color w:val="auto"/>
        </w:rPr>
      </w:pPr>
      <w:r>
        <w:rPr>
          <w:rFonts w:hint="eastAsia"/>
          <w:color w:val="auto"/>
        </w:rPr>
        <w:t>1</w:t>
      </w:r>
      <w:r>
        <w:rPr>
          <w:rFonts w:hint="eastAsia"/>
          <w:color w:val="auto"/>
          <w:lang w:val="en-US" w:eastAsia="zh-CN"/>
        </w:rPr>
        <w:t>.</w:t>
      </w:r>
      <w:r>
        <w:rPr>
          <w:rFonts w:hint="eastAsia"/>
          <w:color w:val="auto"/>
        </w:rPr>
        <w:t>各学校组织代表队时，须安排为参赛选手购买大赛期间的人身意外伤害保险。</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2" w:right="296" w:firstLine="560"/>
        <w:jc w:val="left"/>
        <w:textAlignment w:val="baseline"/>
        <w:rPr>
          <w:rFonts w:hint="eastAsia"/>
          <w:color w:val="auto"/>
        </w:rPr>
      </w:pPr>
      <w:r>
        <w:rPr>
          <w:rFonts w:hint="eastAsia"/>
          <w:color w:val="auto"/>
        </w:rPr>
        <w:t>2</w:t>
      </w:r>
      <w:r>
        <w:rPr>
          <w:rFonts w:hint="eastAsia"/>
          <w:color w:val="auto"/>
          <w:lang w:val="en-US" w:eastAsia="zh-CN"/>
        </w:rPr>
        <w:t>.</w:t>
      </w:r>
      <w:r>
        <w:rPr>
          <w:rFonts w:hint="eastAsia"/>
          <w:color w:val="auto"/>
        </w:rPr>
        <w:t>各学校代表队组成后，须制定相关管理制度，并对所有选手进行安全教育。</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2" w:right="296" w:firstLine="560"/>
        <w:jc w:val="left"/>
        <w:textAlignment w:val="baseline"/>
        <w:rPr>
          <w:rFonts w:hint="eastAsia"/>
          <w:color w:val="auto"/>
        </w:rPr>
      </w:pPr>
      <w:r>
        <w:rPr>
          <w:rFonts w:hint="eastAsia"/>
          <w:color w:val="auto"/>
        </w:rPr>
        <w:t>3</w:t>
      </w:r>
      <w:r>
        <w:rPr>
          <w:rFonts w:hint="eastAsia"/>
          <w:color w:val="auto"/>
          <w:lang w:val="en-US" w:eastAsia="zh-CN"/>
        </w:rPr>
        <w:t>.</w:t>
      </w:r>
      <w:r>
        <w:rPr>
          <w:rFonts w:hint="eastAsia"/>
          <w:color w:val="auto"/>
        </w:rPr>
        <w:t>各参赛队伍须加强对参与比赛人员的安全管理，实现与赛场安全管理的对接。</w:t>
      </w:r>
    </w:p>
    <w:p>
      <w:pPr>
        <w:keepNext w:val="0"/>
        <w:keepLines w:val="0"/>
        <w:pageBreakBefore w:val="0"/>
        <w:widowControl/>
        <w:kinsoku w:val="0"/>
        <w:wordWrap/>
        <w:overflowPunct/>
        <w:topLinePunct w:val="0"/>
        <w:autoSpaceDE w:val="0"/>
        <w:autoSpaceDN w:val="0"/>
        <w:bidi w:val="0"/>
        <w:adjustRightInd w:val="0"/>
        <w:snapToGrid w:val="0"/>
        <w:spacing w:line="360" w:lineRule="auto"/>
        <w:ind w:left="808"/>
        <w:jc w:val="left"/>
        <w:textAlignment w:val="baseline"/>
        <w:outlineLvl w:val="1"/>
        <w:rPr>
          <w:rFonts w:hint="default" w:ascii="Arial" w:eastAsia="微软雅黑"/>
          <w:color w:val="auto"/>
          <w:sz w:val="21"/>
          <w:lang w:val="en-US" w:eastAsia="zh-CN"/>
        </w:rPr>
      </w:pPr>
      <w:r>
        <w:rPr>
          <w:rFonts w:ascii="微软雅黑" w:hAnsi="微软雅黑" w:eastAsia="微软雅黑" w:cs="微软雅黑"/>
          <w:color w:val="auto"/>
          <w:spacing w:val="9"/>
          <w:position w:val="-1"/>
          <w:sz w:val="30"/>
          <w:szCs w:val="30"/>
        </w:rPr>
        <w:t>(</w:t>
      </w:r>
      <w:r>
        <w:rPr>
          <w:rFonts w:hint="eastAsia" w:ascii="微软雅黑" w:hAnsi="微软雅黑" w:eastAsia="微软雅黑" w:cs="微软雅黑"/>
          <w:color w:val="auto"/>
          <w:spacing w:val="9"/>
          <w:position w:val="-1"/>
          <w:sz w:val="30"/>
          <w:szCs w:val="30"/>
          <w:lang w:val="en-US" w:eastAsia="zh-CN"/>
        </w:rPr>
        <w:t>四</w:t>
      </w:r>
      <w:r>
        <w:rPr>
          <w:rFonts w:ascii="微软雅黑" w:hAnsi="微软雅黑" w:eastAsia="微软雅黑" w:cs="微软雅黑"/>
          <w:color w:val="auto"/>
          <w:spacing w:val="9"/>
          <w:position w:val="-1"/>
          <w:sz w:val="30"/>
          <w:szCs w:val="30"/>
        </w:rPr>
        <w:t>)</w:t>
      </w:r>
      <w:r>
        <w:rPr>
          <w:rFonts w:hint="eastAsia" w:ascii="微软雅黑" w:hAnsi="微软雅黑" w:eastAsia="微软雅黑" w:cs="微软雅黑"/>
          <w:color w:val="auto"/>
          <w:spacing w:val="9"/>
          <w:position w:val="-1"/>
          <w:sz w:val="30"/>
          <w:szCs w:val="30"/>
          <w:lang w:val="en-US" w:eastAsia="zh-CN"/>
        </w:rPr>
        <w:t>应急处理</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2" w:right="296" w:firstLine="560"/>
        <w:jc w:val="left"/>
        <w:textAlignment w:val="baseline"/>
        <w:rPr>
          <w:rFonts w:hint="eastAsia"/>
          <w:color w:val="auto"/>
        </w:rPr>
      </w:pPr>
      <w:r>
        <w:rPr>
          <w:rFonts w:hint="eastAsia"/>
          <w:color w:val="auto"/>
        </w:rPr>
        <w:t>比赛期间发生意外事故，发现者应第一时间报告执委会，同时采取措施避免事态扩大。执委会应立即启动预案予以解决并报告组委会。赛项出现重大安全问题可以停赛，是否停赛由执委会决定。事后，执委会应向组委会报告详细情况。</w:t>
      </w:r>
    </w:p>
    <w:p>
      <w:pPr>
        <w:keepNext w:val="0"/>
        <w:keepLines w:val="0"/>
        <w:pageBreakBefore w:val="0"/>
        <w:widowControl/>
        <w:kinsoku w:val="0"/>
        <w:wordWrap/>
        <w:overflowPunct/>
        <w:topLinePunct w:val="0"/>
        <w:autoSpaceDE w:val="0"/>
        <w:autoSpaceDN w:val="0"/>
        <w:bidi w:val="0"/>
        <w:adjustRightInd w:val="0"/>
        <w:snapToGrid w:val="0"/>
        <w:spacing w:line="360" w:lineRule="auto"/>
        <w:ind w:left="808"/>
        <w:jc w:val="left"/>
        <w:textAlignment w:val="baseline"/>
        <w:outlineLvl w:val="1"/>
        <w:rPr>
          <w:rFonts w:hint="default" w:ascii="Arial" w:eastAsia="微软雅黑"/>
          <w:color w:val="auto"/>
          <w:sz w:val="21"/>
          <w:lang w:val="en-US" w:eastAsia="zh-CN"/>
        </w:rPr>
      </w:pPr>
      <w:r>
        <w:rPr>
          <w:rFonts w:ascii="微软雅黑" w:hAnsi="微软雅黑" w:eastAsia="微软雅黑" w:cs="微软雅黑"/>
          <w:color w:val="auto"/>
          <w:spacing w:val="9"/>
          <w:position w:val="-1"/>
          <w:sz w:val="30"/>
          <w:szCs w:val="30"/>
        </w:rPr>
        <w:t>(</w:t>
      </w:r>
      <w:r>
        <w:rPr>
          <w:rFonts w:hint="eastAsia" w:ascii="微软雅黑" w:hAnsi="微软雅黑" w:eastAsia="微软雅黑" w:cs="微软雅黑"/>
          <w:color w:val="auto"/>
          <w:spacing w:val="9"/>
          <w:position w:val="-1"/>
          <w:sz w:val="30"/>
          <w:szCs w:val="30"/>
          <w:lang w:val="en-US" w:eastAsia="zh-CN"/>
        </w:rPr>
        <w:t>五</w:t>
      </w:r>
      <w:r>
        <w:rPr>
          <w:rFonts w:ascii="微软雅黑" w:hAnsi="微软雅黑" w:eastAsia="微软雅黑" w:cs="微软雅黑"/>
          <w:color w:val="auto"/>
          <w:spacing w:val="9"/>
          <w:position w:val="-1"/>
          <w:sz w:val="30"/>
          <w:szCs w:val="30"/>
        </w:rPr>
        <w:t>)</w:t>
      </w:r>
      <w:r>
        <w:rPr>
          <w:rFonts w:hint="eastAsia" w:ascii="微软雅黑" w:hAnsi="微软雅黑" w:eastAsia="微软雅黑" w:cs="微软雅黑"/>
          <w:color w:val="auto"/>
          <w:spacing w:val="9"/>
          <w:position w:val="-1"/>
          <w:sz w:val="30"/>
          <w:szCs w:val="30"/>
          <w:lang w:val="en-US" w:eastAsia="zh-CN"/>
        </w:rPr>
        <w:t>处罚措施</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2" w:right="296" w:firstLine="560"/>
        <w:jc w:val="left"/>
        <w:textAlignment w:val="baseline"/>
        <w:rPr>
          <w:rFonts w:hint="eastAsia"/>
          <w:color w:val="auto"/>
        </w:rPr>
      </w:pPr>
      <w:r>
        <w:rPr>
          <w:rFonts w:hint="eastAsia"/>
          <w:color w:val="auto"/>
        </w:rPr>
        <w:t>1</w:t>
      </w:r>
      <w:r>
        <w:rPr>
          <w:rFonts w:hint="eastAsia"/>
          <w:color w:val="auto"/>
          <w:lang w:val="en-US" w:eastAsia="zh-CN"/>
        </w:rPr>
        <w:t>.</w:t>
      </w:r>
      <w:r>
        <w:rPr>
          <w:rFonts w:hint="eastAsia"/>
          <w:color w:val="auto"/>
        </w:rPr>
        <w:t>因参赛队伍原因造成重大安全事故的，取消其获奖资格。</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2" w:right="296" w:firstLine="560"/>
        <w:jc w:val="left"/>
        <w:textAlignment w:val="baseline"/>
        <w:rPr>
          <w:rFonts w:hint="eastAsia"/>
          <w:color w:val="auto"/>
        </w:rPr>
      </w:pPr>
      <w:r>
        <w:rPr>
          <w:rFonts w:hint="eastAsia"/>
          <w:color w:val="auto"/>
        </w:rPr>
        <w:t>2</w:t>
      </w:r>
      <w:r>
        <w:rPr>
          <w:rFonts w:hint="eastAsia"/>
          <w:color w:val="auto"/>
          <w:lang w:val="en-US" w:eastAsia="zh-CN"/>
        </w:rPr>
        <w:t>.</w:t>
      </w:r>
      <w:r>
        <w:rPr>
          <w:rFonts w:hint="eastAsia"/>
          <w:color w:val="auto"/>
        </w:rPr>
        <w:t>参赛队伍有发生重大安全事故隐患，经赛场工作人员提示</w:t>
      </w:r>
      <w:r>
        <w:rPr>
          <w:rFonts w:hint="eastAsia"/>
          <w:color w:val="auto"/>
          <w:lang w:eastAsia="zh-CN"/>
        </w:rPr>
        <w:t>、</w:t>
      </w:r>
      <w:r>
        <w:rPr>
          <w:rFonts w:hint="eastAsia"/>
          <w:color w:val="auto"/>
        </w:rPr>
        <w:t>警告无效的，可取消其继续比赛的资格。</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2" w:right="296" w:firstLine="560"/>
        <w:jc w:val="left"/>
        <w:textAlignment w:val="baseline"/>
        <w:rPr>
          <w:color w:val="auto"/>
        </w:rPr>
      </w:pPr>
      <w:r>
        <w:rPr>
          <w:rFonts w:hint="eastAsia"/>
          <w:color w:val="auto"/>
          <w:lang w:val="en-US" w:eastAsia="zh-CN"/>
        </w:rPr>
        <w:t>3.</w:t>
      </w:r>
      <w:r>
        <w:rPr>
          <w:rFonts w:hint="eastAsia"/>
          <w:color w:val="auto"/>
        </w:rPr>
        <w:t>赛事工作人员违规的，按照相应的制度追究责任。情节恶劣并造成重大安全事故的，由司法机关追究相应法律责任。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8"/>
        <w:jc w:val="left"/>
        <w:textAlignment w:val="baseline"/>
        <w:outlineLvl w:val="1"/>
        <w:rPr>
          <w:rFonts w:ascii="微软雅黑" w:hAnsi="微软雅黑" w:eastAsia="微软雅黑" w:cs="微软雅黑"/>
          <w:color w:val="auto"/>
          <w:sz w:val="30"/>
          <w:szCs w:val="30"/>
        </w:rPr>
      </w:pPr>
      <w:r>
        <w:rPr>
          <w:rFonts w:ascii="微软雅黑" w:hAnsi="微软雅黑" w:eastAsia="微软雅黑" w:cs="微软雅黑"/>
          <w:color w:val="auto"/>
          <w:spacing w:val="2"/>
          <w:sz w:val="30"/>
          <w:szCs w:val="30"/>
        </w:rPr>
        <w:t>十二、成绩评定</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88" w:firstLineChars="200"/>
        <w:jc w:val="left"/>
        <w:textAlignment w:val="baseline"/>
        <w:rPr>
          <w:rFonts w:hint="default" w:ascii="Arial" w:eastAsia="微软雅黑"/>
          <w:color w:val="auto"/>
          <w:sz w:val="21"/>
          <w:lang w:val="en-US" w:eastAsia="zh-CN"/>
        </w:rPr>
      </w:pPr>
      <w:r>
        <w:rPr>
          <w:rFonts w:ascii="微软雅黑" w:hAnsi="微软雅黑" w:eastAsia="微软雅黑" w:cs="微软雅黑"/>
          <w:color w:val="auto"/>
          <w:spacing w:val="22"/>
          <w:position w:val="-1"/>
          <w:sz w:val="30"/>
          <w:szCs w:val="30"/>
        </w:rPr>
        <w:t>(一)</w:t>
      </w:r>
      <w:r>
        <w:rPr>
          <w:rFonts w:hint="eastAsia" w:ascii="微软雅黑" w:hAnsi="微软雅黑" w:eastAsia="微软雅黑" w:cs="微软雅黑"/>
          <w:color w:val="auto"/>
          <w:spacing w:val="22"/>
          <w:position w:val="-1"/>
          <w:sz w:val="30"/>
          <w:szCs w:val="30"/>
          <w:lang w:val="en-US" w:eastAsia="zh-CN"/>
        </w:rPr>
        <w:t>评分标准</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32" w:firstLine="532"/>
        <w:jc w:val="left"/>
        <w:textAlignment w:val="baseline"/>
        <w:rPr>
          <w:rFonts w:hint="eastAsia" w:cs="仿宋"/>
          <w:color w:val="auto"/>
          <w:spacing w:val="-9"/>
          <w:lang w:eastAsia="zh-CN"/>
        </w:rPr>
      </w:pPr>
      <w:r>
        <w:rPr>
          <w:rFonts w:hint="eastAsia" w:ascii="仿宋" w:hAnsi="仿宋" w:eastAsia="仿宋" w:cs="仿宋"/>
          <w:color w:val="auto"/>
          <w:spacing w:val="-9"/>
        </w:rPr>
        <w:t>1.各参赛队的理论竞赛成绩取队内3名选手理论竞赛的平均成绩。理论竞赛：单项选择题（50题）每题1分，多项选择题（</w:t>
      </w:r>
      <w:r>
        <w:rPr>
          <w:rFonts w:hint="eastAsia" w:cs="仿宋"/>
          <w:color w:val="auto"/>
          <w:spacing w:val="-9"/>
          <w:lang w:val="en-US" w:eastAsia="zh-CN"/>
        </w:rPr>
        <w:t>20</w:t>
      </w:r>
      <w:r>
        <w:rPr>
          <w:rFonts w:hint="eastAsia" w:ascii="仿宋" w:hAnsi="仿宋" w:eastAsia="仿宋" w:cs="仿宋"/>
          <w:color w:val="auto"/>
          <w:spacing w:val="-9"/>
        </w:rPr>
        <w:t>题）每题2分</w:t>
      </w:r>
      <w:r>
        <w:rPr>
          <w:rFonts w:hint="eastAsia" w:cs="仿宋"/>
          <w:color w:val="auto"/>
          <w:spacing w:val="-9"/>
          <w:lang w:eastAsia="zh-CN"/>
        </w:rPr>
        <w:t>，</w:t>
      </w:r>
      <w:r>
        <w:rPr>
          <w:rFonts w:hint="eastAsia" w:ascii="仿宋" w:hAnsi="仿宋" w:eastAsia="仿宋" w:cs="仿宋"/>
          <w:color w:val="auto"/>
          <w:spacing w:val="-9"/>
        </w:rPr>
        <w:t>判断题（</w:t>
      </w:r>
      <w:r>
        <w:rPr>
          <w:rFonts w:hint="eastAsia" w:cs="仿宋"/>
          <w:color w:val="auto"/>
          <w:spacing w:val="-9"/>
          <w:lang w:val="en-US" w:eastAsia="zh-CN"/>
        </w:rPr>
        <w:t>10</w:t>
      </w:r>
      <w:r>
        <w:rPr>
          <w:rFonts w:hint="eastAsia" w:ascii="仿宋" w:hAnsi="仿宋" w:eastAsia="仿宋" w:cs="仿宋"/>
          <w:color w:val="auto"/>
          <w:spacing w:val="-9"/>
        </w:rPr>
        <w:t>题）每题1分</w:t>
      </w:r>
      <w:r>
        <w:rPr>
          <w:rFonts w:hint="eastAsia" w:cs="仿宋"/>
          <w:color w:val="auto"/>
          <w:spacing w:val="-9"/>
          <w:lang w:eastAsia="zh-CN"/>
        </w:rPr>
        <w:t>。</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32" w:firstLine="532"/>
        <w:jc w:val="left"/>
        <w:textAlignment w:val="baseline"/>
        <w:rPr>
          <w:rFonts w:hint="eastAsia" w:cs="仿宋"/>
          <w:color w:val="auto"/>
          <w:spacing w:val="-9"/>
          <w:lang w:val="en-US" w:eastAsia="zh-CN"/>
        </w:rPr>
      </w:pPr>
      <w:r>
        <w:rPr>
          <w:rFonts w:hint="eastAsia" w:cs="仿宋"/>
          <w:color w:val="auto"/>
          <w:spacing w:val="-9"/>
          <w:lang w:val="en-US" w:eastAsia="zh-CN"/>
        </w:rPr>
        <w:t>2.各参赛队的施工模拟竞赛成绩取队内3名选手施工模拟竞赛的平均成绩。施工模拟</w:t>
      </w:r>
      <w:r>
        <w:rPr>
          <w:rFonts w:hint="eastAsia"/>
          <w:b w:val="0"/>
          <w:bCs w:val="0"/>
        </w:rPr>
        <w:t>考核剪力墙外墙板、剪力墙内墙板、叠合板、</w:t>
      </w:r>
      <w:r>
        <w:rPr>
          <w:rFonts w:hint="eastAsia"/>
          <w:b w:val="0"/>
          <w:bCs w:val="0"/>
          <w:lang w:val="en-US" w:eastAsia="zh-CN"/>
        </w:rPr>
        <w:t>预制楼梯、预制梁、</w:t>
      </w:r>
      <w:r>
        <w:rPr>
          <w:rFonts w:hint="eastAsia"/>
          <w:b w:val="0"/>
          <w:bCs w:val="0"/>
        </w:rPr>
        <w:t>预制柱</w:t>
      </w:r>
      <w:r>
        <w:rPr>
          <w:rFonts w:hint="eastAsia"/>
          <w:b w:val="0"/>
          <w:bCs w:val="0"/>
          <w:lang w:val="en-US" w:eastAsia="zh-CN"/>
        </w:rPr>
        <w:t>六</w:t>
      </w:r>
      <w:r>
        <w:rPr>
          <w:rFonts w:hint="eastAsia"/>
          <w:b w:val="0"/>
          <w:bCs w:val="0"/>
        </w:rPr>
        <w:t>种常见构件的安装模拟和灌浆及现场连接模拟；比赛时随机</w:t>
      </w:r>
      <w:r>
        <w:rPr>
          <w:rFonts w:hint="eastAsia"/>
          <w:b w:val="0"/>
          <w:bCs w:val="0"/>
          <w:lang w:val="en-US" w:eastAsia="zh-CN"/>
        </w:rPr>
        <w:t>从竖向构件</w:t>
      </w:r>
      <w:r>
        <w:rPr>
          <w:rFonts w:hint="eastAsia"/>
          <w:b w:val="0"/>
          <w:bCs w:val="0"/>
        </w:rPr>
        <w:t>抽取</w:t>
      </w:r>
      <w:r>
        <w:rPr>
          <w:rFonts w:hint="eastAsia"/>
          <w:b w:val="0"/>
          <w:bCs w:val="0"/>
          <w:lang w:val="en-US" w:eastAsia="zh-CN"/>
        </w:rPr>
        <w:t>一</w:t>
      </w:r>
      <w:r>
        <w:rPr>
          <w:rFonts w:hint="eastAsia"/>
          <w:b w:val="0"/>
          <w:bCs w:val="0"/>
        </w:rPr>
        <w:t>种</w:t>
      </w:r>
      <w:r>
        <w:rPr>
          <w:rFonts w:hint="eastAsia"/>
          <w:b w:val="0"/>
          <w:bCs w:val="0"/>
          <w:lang w:eastAsia="zh-CN"/>
        </w:rPr>
        <w:t>、</w:t>
      </w:r>
      <w:r>
        <w:rPr>
          <w:rFonts w:hint="eastAsia"/>
          <w:b w:val="0"/>
          <w:bCs w:val="0"/>
          <w:lang w:val="en-US" w:eastAsia="zh-CN"/>
        </w:rPr>
        <w:t>从水平构件中抽取两种构件进行</w:t>
      </w:r>
      <w:r>
        <w:rPr>
          <w:rFonts w:hint="eastAsia"/>
          <w:b w:val="0"/>
          <w:bCs w:val="0"/>
        </w:rPr>
        <w:t>安装模拟，灌浆及现场连接模拟为必选项。</w:t>
      </w:r>
      <w:r>
        <w:rPr>
          <w:rFonts w:hint="eastAsia" w:cs="仿宋"/>
          <w:color w:val="auto"/>
          <w:spacing w:val="-9"/>
          <w:lang w:val="en-US" w:eastAsia="zh-CN"/>
        </w:rPr>
        <w:t>评分标准详见下表。</w:t>
      </w:r>
    </w:p>
    <w:p>
      <w:pPr>
        <w:spacing w:line="360" w:lineRule="auto"/>
        <w:ind w:left="0" w:leftChars="0" w:right="0" w:rightChars="0" w:firstLine="0" w:firstLineChars="0"/>
        <w:jc w:val="center"/>
        <w:rPr>
          <w:rFonts w:hint="eastAsia" w:ascii="仿宋" w:hAnsi="仿宋" w:eastAsia="仿宋" w:cs="仿宋"/>
          <w:sz w:val="28"/>
          <w:szCs w:val="28"/>
        </w:rPr>
      </w:pPr>
      <w:r>
        <w:rPr>
          <w:rFonts w:hint="eastAsia" w:ascii="仿宋" w:hAnsi="仿宋" w:eastAsia="仿宋" w:cs="仿宋"/>
          <w:b/>
          <w:bCs/>
          <w:sz w:val="28"/>
          <w:szCs w:val="28"/>
        </w:rPr>
        <w:t>剪力墙外墙板安装模拟</w:t>
      </w:r>
    </w:p>
    <w:tbl>
      <w:tblPr>
        <w:tblStyle w:val="3"/>
        <w:tblW w:w="875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120"/>
        <w:gridCol w:w="5590"/>
        <w:gridCol w:w="1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评分项</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评分内容</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分值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施工人员准备</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现场施工环境确认、劳保用品准备</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施工现场准备</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构件质量检查</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施工面预埋钢筋处理</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施工面凿毛、清理、湿润</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施工面固定防水密封条</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划线标高</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根据施工图纸在构件安装区域确定位置线及控制线</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使用测量仪器进行竖向构件底部垫块标高找平</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构件吊装</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吊具选型、连接</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构件试吊、吊运</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构件安装对位</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斜支撑支设</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斜支撑支设</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构件调整</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根据测量结果操作临时支撑进行构件调整</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检查与复核</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构件水平位置检查、复核、记录</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构件标高检查、复核、记录</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构件垂直度检查、复核、记录</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摘钩</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构件摘钩操作</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工完料清</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工具清点、清理、入库</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设备检查、复位</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施工场地清理</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7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128</w:t>
            </w:r>
          </w:p>
        </w:tc>
      </w:tr>
    </w:tbl>
    <w:p>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color w:val="auto"/>
          <w:sz w:val="24"/>
          <w:szCs w:val="24"/>
        </w:rPr>
      </w:pPr>
      <w:r>
        <w:rPr>
          <w:color w:val="auto"/>
          <w:spacing w:val="-3"/>
          <w:sz w:val="24"/>
          <w:szCs w:val="24"/>
        </w:rPr>
        <w:t>注：</w:t>
      </w:r>
      <w:r>
        <w:rPr>
          <w:rFonts w:hint="eastAsia"/>
          <w:color w:val="auto"/>
          <w:spacing w:val="-3"/>
          <w:sz w:val="24"/>
          <w:szCs w:val="24"/>
          <w:lang w:val="en-US" w:eastAsia="zh-CN"/>
        </w:rPr>
        <w:t>装配式施工模拟最终成绩按</w:t>
      </w:r>
      <w:r>
        <w:rPr>
          <w:color w:val="auto"/>
          <w:spacing w:val="-3"/>
          <w:sz w:val="24"/>
          <w:szCs w:val="24"/>
        </w:rPr>
        <w:t>百分制折算。</w:t>
      </w:r>
    </w:p>
    <w:p>
      <w:pPr>
        <w:spacing w:line="360" w:lineRule="auto"/>
        <w:rPr>
          <w:rFonts w:hint="eastAsia" w:ascii="仿宋" w:hAnsi="仿宋" w:eastAsia="仿宋" w:cs="仿宋"/>
          <w:sz w:val="28"/>
          <w:szCs w:val="28"/>
        </w:rPr>
      </w:pPr>
    </w:p>
    <w:p>
      <w:pPr>
        <w:spacing w:line="360" w:lineRule="auto"/>
        <w:ind w:left="0" w:leftChars="0" w:right="0" w:righ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剪力墙内墙板安装模拟</w:t>
      </w:r>
    </w:p>
    <w:tbl>
      <w:tblPr>
        <w:tblStyle w:val="3"/>
        <w:tblW w:w="875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120"/>
        <w:gridCol w:w="5590"/>
        <w:gridCol w:w="1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评分项</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评分内容</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分值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施工人员准备</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现场施工环境确认、劳保用品准备</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施工现场准备</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构件质量检查</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施工面预埋钢筋处理</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施工面凿毛、清理、湿润</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划线标高</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根据施工图纸在构件安装区域确定位置线及控制线</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使用测量仪器进行竖向构件底部垫块标高找平</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构件吊装</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吊具选型、连接</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构件试吊、吊运</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构件安装对位</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斜支撑支设</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斜支撑支设</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构件调整</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根据测量结果操作临时支撑调整构件垂直度</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检查与复核</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构件水平位置检查、复核、记录</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构件标高检查、复核、记录</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摘钩</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构件摘钩操作</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工完料清</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工具清点、清理、入库</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设备检查、复位</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施工场地清理</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7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128</w:t>
            </w:r>
          </w:p>
        </w:tc>
      </w:tr>
    </w:tbl>
    <w:p>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color w:val="auto"/>
          <w:sz w:val="24"/>
          <w:szCs w:val="24"/>
        </w:rPr>
      </w:pPr>
      <w:r>
        <w:rPr>
          <w:color w:val="auto"/>
          <w:spacing w:val="-3"/>
          <w:sz w:val="24"/>
          <w:szCs w:val="24"/>
        </w:rPr>
        <w:t>注：</w:t>
      </w:r>
      <w:r>
        <w:rPr>
          <w:rFonts w:hint="eastAsia"/>
          <w:color w:val="auto"/>
          <w:spacing w:val="-3"/>
          <w:sz w:val="24"/>
          <w:szCs w:val="24"/>
          <w:lang w:val="en-US" w:eastAsia="zh-CN"/>
        </w:rPr>
        <w:t>装配式施工模拟最终成绩按</w:t>
      </w:r>
      <w:r>
        <w:rPr>
          <w:color w:val="auto"/>
          <w:spacing w:val="-3"/>
          <w:sz w:val="24"/>
          <w:szCs w:val="24"/>
        </w:rPr>
        <w:t>百分制折算。</w:t>
      </w:r>
    </w:p>
    <w:p>
      <w:pPr>
        <w:spacing w:line="360" w:lineRule="auto"/>
        <w:rPr>
          <w:rFonts w:hint="eastAsia" w:ascii="仿宋" w:hAnsi="仿宋" w:eastAsia="仿宋" w:cs="仿宋"/>
          <w:sz w:val="28"/>
          <w:szCs w:val="28"/>
        </w:rPr>
      </w:pPr>
    </w:p>
    <w:p>
      <w:pPr>
        <w:spacing w:line="360" w:lineRule="auto"/>
        <w:ind w:left="0" w:leftChars="0" w:right="0" w:righ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预制柱安装模拟</w:t>
      </w:r>
    </w:p>
    <w:tbl>
      <w:tblPr>
        <w:tblStyle w:val="3"/>
        <w:tblW w:w="875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120"/>
        <w:gridCol w:w="5590"/>
        <w:gridCol w:w="1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评分项</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评分内容</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分值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施工人员准备</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现场施工环境确认、劳保用品准备</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施工现场准备</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构件质量检查</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施工面预埋钢筋处理</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施工面凿毛、清理、湿润</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施工面固定防水密封条</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划线标高</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根据施工图纸在构件安装区域绘制控制线</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使用测量仪器进行竖向构件底部垫块标高找平</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构件吊装</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吊具选型、连接</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构件试吊、吊运</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构件安装对位</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斜支撑支设</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斜支撑支设</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构件调整</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根据测量结果操作临时支撑调整构件垂直度</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检查与复核</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构件水平位置检查、复核、记录</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构件标高检查、复核、记录</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摘钩</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构件摘钩操作</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工完料清</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工具清点、清理、入库</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设备检查、复位</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施工场地清理</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7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128</w:t>
            </w:r>
          </w:p>
        </w:tc>
      </w:tr>
    </w:tbl>
    <w:p>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color w:val="auto"/>
          <w:sz w:val="24"/>
          <w:szCs w:val="24"/>
        </w:rPr>
      </w:pPr>
      <w:r>
        <w:rPr>
          <w:color w:val="auto"/>
          <w:spacing w:val="-3"/>
          <w:sz w:val="24"/>
          <w:szCs w:val="24"/>
        </w:rPr>
        <w:t>注：</w:t>
      </w:r>
      <w:r>
        <w:rPr>
          <w:rFonts w:hint="eastAsia"/>
          <w:color w:val="auto"/>
          <w:spacing w:val="-3"/>
          <w:sz w:val="24"/>
          <w:szCs w:val="24"/>
          <w:lang w:val="en-US" w:eastAsia="zh-CN"/>
        </w:rPr>
        <w:t>装配式施工模拟最终成绩按</w:t>
      </w:r>
      <w:r>
        <w:rPr>
          <w:color w:val="auto"/>
          <w:spacing w:val="-3"/>
          <w:sz w:val="24"/>
          <w:szCs w:val="24"/>
        </w:rPr>
        <w:t>百分制折算。</w:t>
      </w:r>
    </w:p>
    <w:p>
      <w:pPr>
        <w:spacing w:line="360" w:lineRule="auto"/>
        <w:rPr>
          <w:rFonts w:hint="eastAsia" w:ascii="仿宋" w:hAnsi="仿宋" w:eastAsia="仿宋" w:cs="仿宋"/>
          <w:sz w:val="28"/>
          <w:szCs w:val="28"/>
        </w:rPr>
      </w:pPr>
    </w:p>
    <w:p>
      <w:pPr>
        <w:spacing w:line="360" w:lineRule="auto"/>
        <w:ind w:left="0" w:leftChars="0" w:right="0" w:righ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叠合板安装模拟</w:t>
      </w:r>
    </w:p>
    <w:tbl>
      <w:tblPr>
        <w:tblStyle w:val="3"/>
        <w:tblW w:w="875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120"/>
        <w:gridCol w:w="5590"/>
        <w:gridCol w:w="1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评分项</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评分内容</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分值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施工人员准备</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现场施工环境确认、劳保用品准备</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施工现场准备</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构件质量检查</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划线标高</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根据施工图纸在构件安装区域进行划线</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使用测量仪器进行水平构件标高找平</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竖向支撑支设</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竖向支撑支设</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水平标高调整</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构件吊装</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吊具选型、连接</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构件试吊、吊运</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构件安装对位</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构件调整</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根据测量结果操作竖向支撑调整构件标高</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检查与复核</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构件水平位置复核、记录</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构件标高复核、记录</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摘钩</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构件摘钩操作</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封缝</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墙板与楼板接缝抹灰</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工完料清</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工具清点、清理、入库</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设备检查、复位</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施工场地清理</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7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128</w:t>
            </w:r>
          </w:p>
        </w:tc>
      </w:tr>
    </w:tbl>
    <w:p>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color w:val="auto"/>
          <w:sz w:val="24"/>
          <w:szCs w:val="24"/>
        </w:rPr>
      </w:pPr>
      <w:r>
        <w:rPr>
          <w:color w:val="auto"/>
          <w:spacing w:val="-3"/>
          <w:sz w:val="24"/>
          <w:szCs w:val="24"/>
        </w:rPr>
        <w:t>注：</w:t>
      </w:r>
      <w:r>
        <w:rPr>
          <w:rFonts w:hint="eastAsia"/>
          <w:color w:val="auto"/>
          <w:spacing w:val="-3"/>
          <w:sz w:val="24"/>
          <w:szCs w:val="24"/>
          <w:lang w:val="en-US" w:eastAsia="zh-CN"/>
        </w:rPr>
        <w:t>装配式施工模拟最终成绩按</w:t>
      </w:r>
      <w:r>
        <w:rPr>
          <w:color w:val="auto"/>
          <w:spacing w:val="-3"/>
          <w:sz w:val="24"/>
          <w:szCs w:val="24"/>
        </w:rPr>
        <w:t>百分制折算。</w:t>
      </w:r>
    </w:p>
    <w:p>
      <w:pPr>
        <w:spacing w:line="360" w:lineRule="auto"/>
        <w:rPr>
          <w:rFonts w:hint="eastAsia" w:ascii="仿宋" w:hAnsi="仿宋" w:eastAsia="仿宋" w:cs="仿宋"/>
          <w:sz w:val="28"/>
          <w:szCs w:val="28"/>
        </w:rPr>
      </w:pPr>
    </w:p>
    <w:p>
      <w:pPr>
        <w:spacing w:line="360" w:lineRule="auto"/>
        <w:ind w:left="0" w:leftChars="0" w:right="0" w:righ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预制梁安装模拟</w:t>
      </w:r>
    </w:p>
    <w:tbl>
      <w:tblPr>
        <w:tblStyle w:val="3"/>
        <w:tblW w:w="875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120"/>
        <w:gridCol w:w="5590"/>
        <w:gridCol w:w="1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评分项</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评分内容</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分值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施工人员准备</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现场施工环境确认、劳保用品准备</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施工现场准备</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构件质量检查</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划线标高</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根据施工图纸在构件安装区域进行划线</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使用测量仪器进行水平构件标高找平</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竖向支撑支设</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竖向支撑支设</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水平标高调整</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构件吊装</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吊具选型、连接</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构件试吊、吊运</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构件安装对位</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构件调整</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根据测量结果操作竖向支撑调整构件标高</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检查与复核</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构件水平位置复核、记录</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构件标高复核、记录</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摘钩</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构件摘钩操作</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工完料清</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工具清点、清理、入库</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设备检查、复位</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施工场地清理</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7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128</w:t>
            </w:r>
          </w:p>
        </w:tc>
      </w:tr>
    </w:tbl>
    <w:p>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color w:val="auto"/>
          <w:sz w:val="24"/>
          <w:szCs w:val="24"/>
        </w:rPr>
      </w:pPr>
      <w:r>
        <w:rPr>
          <w:color w:val="auto"/>
          <w:spacing w:val="-3"/>
          <w:sz w:val="24"/>
          <w:szCs w:val="24"/>
        </w:rPr>
        <w:t>注：</w:t>
      </w:r>
      <w:r>
        <w:rPr>
          <w:rFonts w:hint="eastAsia"/>
          <w:color w:val="auto"/>
          <w:spacing w:val="-3"/>
          <w:sz w:val="24"/>
          <w:szCs w:val="24"/>
          <w:lang w:val="en-US" w:eastAsia="zh-CN"/>
        </w:rPr>
        <w:t>装配式施工模拟最终成绩按</w:t>
      </w:r>
      <w:r>
        <w:rPr>
          <w:color w:val="auto"/>
          <w:spacing w:val="-3"/>
          <w:sz w:val="24"/>
          <w:szCs w:val="24"/>
        </w:rPr>
        <w:t>百分制折算。</w:t>
      </w:r>
    </w:p>
    <w:p>
      <w:pPr>
        <w:spacing w:line="360" w:lineRule="auto"/>
        <w:rPr>
          <w:rFonts w:hint="eastAsia" w:ascii="仿宋" w:hAnsi="仿宋" w:eastAsia="仿宋" w:cs="仿宋"/>
          <w:sz w:val="28"/>
          <w:szCs w:val="28"/>
        </w:rPr>
      </w:pPr>
    </w:p>
    <w:p>
      <w:pPr>
        <w:spacing w:line="360" w:lineRule="auto"/>
        <w:ind w:left="0" w:leftChars="0" w:right="0" w:righ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预制楼梯安装模拟</w:t>
      </w:r>
    </w:p>
    <w:tbl>
      <w:tblPr>
        <w:tblStyle w:val="3"/>
        <w:tblW w:w="875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120"/>
        <w:gridCol w:w="5590"/>
        <w:gridCol w:w="1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评分项</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评分内容</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分值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施工人员准备</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现场施工环境确认、劳保用品准备</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施工现场准备</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构件质量检查、隔离作业区</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划线标高</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预埋螺栓检查、湿润结合面、安装聚苯板、砂浆找平</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构件吊装</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吊具选型、连接</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构件试吊、吊运</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构件安装对位</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安装位置检查</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构件水平位置复核、记录</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构件平整度复核、记录</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构件标高复核、记录</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摘钩</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构件摘钩操作</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封缝</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固定铰支座施工</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滑动铰支座施工</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工完料清</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工具清点、清理、入库</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设备检查、复位</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施工场地清理</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7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128</w:t>
            </w:r>
          </w:p>
        </w:tc>
      </w:tr>
    </w:tbl>
    <w:p>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color w:val="auto"/>
          <w:sz w:val="24"/>
          <w:szCs w:val="24"/>
        </w:rPr>
      </w:pPr>
      <w:r>
        <w:rPr>
          <w:color w:val="auto"/>
          <w:spacing w:val="-3"/>
          <w:sz w:val="24"/>
          <w:szCs w:val="24"/>
        </w:rPr>
        <w:t>注：</w:t>
      </w:r>
      <w:r>
        <w:rPr>
          <w:rFonts w:hint="eastAsia"/>
          <w:color w:val="auto"/>
          <w:spacing w:val="-3"/>
          <w:sz w:val="24"/>
          <w:szCs w:val="24"/>
          <w:lang w:val="en-US" w:eastAsia="zh-CN"/>
        </w:rPr>
        <w:t>装配式施工模拟最终成绩按</w:t>
      </w:r>
      <w:r>
        <w:rPr>
          <w:color w:val="auto"/>
          <w:spacing w:val="-3"/>
          <w:sz w:val="24"/>
          <w:szCs w:val="24"/>
        </w:rPr>
        <w:t>百分制折算。</w:t>
      </w:r>
    </w:p>
    <w:p>
      <w:pPr>
        <w:spacing w:line="360" w:lineRule="auto"/>
        <w:rPr>
          <w:rFonts w:hint="eastAsia" w:ascii="仿宋" w:hAnsi="仿宋" w:eastAsia="仿宋" w:cs="仿宋"/>
          <w:sz w:val="28"/>
          <w:szCs w:val="28"/>
        </w:rPr>
      </w:pPr>
    </w:p>
    <w:p>
      <w:pPr>
        <w:spacing w:line="360" w:lineRule="auto"/>
        <w:ind w:left="0" w:leftChars="0" w:right="0" w:righ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灌浆模拟</w:t>
      </w:r>
    </w:p>
    <w:tbl>
      <w:tblPr>
        <w:tblStyle w:val="3"/>
        <w:tblW w:w="875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120"/>
        <w:gridCol w:w="5590"/>
        <w:gridCol w:w="1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评分项</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评分内容</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分值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施工现场准备</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现场施工环境确认</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施工人员准备</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劳保用品准备</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封缝料制作</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依照配比制作封缝浆料</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封缝浆料强度试件留置</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封边与分仓</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湿润灌浆孔</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根据施工技术要求进行分仓</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使用工具进行封边操作</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灌浆料制作与检测</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依照配比制备灌浆料</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灌浆料流动度检测</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灌浆料强度试件留置</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灌浆</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记录灌浆开始时间</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操作灌浆设备进行灌浆</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出浆孔封堵</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施工记录</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记录保压时间及结束时间</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工完料清</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灌浆设备清洗</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工具材料清点、清理、入库</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施工场地清理</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7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108</w:t>
            </w:r>
          </w:p>
        </w:tc>
      </w:tr>
    </w:tbl>
    <w:p>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color w:val="auto"/>
          <w:sz w:val="24"/>
          <w:szCs w:val="24"/>
        </w:rPr>
      </w:pPr>
      <w:r>
        <w:rPr>
          <w:color w:val="auto"/>
          <w:spacing w:val="-3"/>
          <w:sz w:val="24"/>
          <w:szCs w:val="24"/>
        </w:rPr>
        <w:t>注：</w:t>
      </w:r>
      <w:r>
        <w:rPr>
          <w:rFonts w:hint="eastAsia"/>
          <w:color w:val="auto"/>
          <w:spacing w:val="-3"/>
          <w:sz w:val="24"/>
          <w:szCs w:val="24"/>
          <w:lang w:val="en-US" w:eastAsia="zh-CN"/>
        </w:rPr>
        <w:t>装配式施工模拟最终成绩按</w:t>
      </w:r>
      <w:r>
        <w:rPr>
          <w:color w:val="auto"/>
          <w:spacing w:val="-3"/>
          <w:sz w:val="24"/>
          <w:szCs w:val="24"/>
        </w:rPr>
        <w:t>百分制折算。</w:t>
      </w:r>
    </w:p>
    <w:p>
      <w:pPr>
        <w:spacing w:line="360" w:lineRule="auto"/>
        <w:ind w:left="0" w:leftChars="0" w:right="0" w:rightChars="0" w:firstLine="0" w:firstLineChars="0"/>
        <w:jc w:val="center"/>
        <w:rPr>
          <w:rFonts w:hint="eastAsia" w:ascii="仿宋" w:hAnsi="仿宋" w:eastAsia="仿宋" w:cs="仿宋"/>
          <w:b/>
          <w:bCs/>
          <w:sz w:val="28"/>
          <w:szCs w:val="28"/>
        </w:rPr>
      </w:pPr>
    </w:p>
    <w:p>
      <w:pPr>
        <w:spacing w:line="360" w:lineRule="auto"/>
        <w:ind w:left="0" w:leftChars="0" w:right="0" w:righ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现浇连接模拟</w:t>
      </w:r>
    </w:p>
    <w:tbl>
      <w:tblPr>
        <w:tblStyle w:val="3"/>
        <w:tblW w:w="875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120"/>
        <w:gridCol w:w="5590"/>
        <w:gridCol w:w="1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评分项</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评分内容</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分值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施工人员准备</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现场施工环境确认劳保用品准备</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底部结合面处理</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后浇接触面处理</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结合面洒水湿润</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钢筋处理及钢筋连接</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钢筋检查、除锈及校正</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水平钢筋、竖向钢筋绑扎</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安装保护层垫块</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模板施工</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绘制模板安装位置线及控制线</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水平接缝、竖向接缝处理</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模板选型、清理、涂刷脱模剂</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模板安装、调整、加固</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混凝土浇筑及</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养护</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计算节点的混凝土用量</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控制分层浇筑高度及振捣时间</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浇节点浇筑完成面抹平</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后浇混凝土养护</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工完料清</w:t>
            </w: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工具材料清点、清理、入库</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施工场地清理</w:t>
            </w:r>
          </w:p>
        </w:tc>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7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总分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108</w:t>
            </w:r>
          </w:p>
        </w:tc>
      </w:tr>
    </w:tbl>
    <w:p>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color w:val="auto"/>
          <w:sz w:val="24"/>
          <w:szCs w:val="24"/>
        </w:rPr>
      </w:pPr>
      <w:r>
        <w:rPr>
          <w:color w:val="auto"/>
          <w:spacing w:val="-3"/>
          <w:sz w:val="24"/>
          <w:szCs w:val="24"/>
        </w:rPr>
        <w:t>注：</w:t>
      </w:r>
      <w:r>
        <w:rPr>
          <w:rFonts w:hint="eastAsia"/>
          <w:color w:val="auto"/>
          <w:spacing w:val="-3"/>
          <w:sz w:val="24"/>
          <w:szCs w:val="24"/>
          <w:lang w:val="en-US" w:eastAsia="zh-CN"/>
        </w:rPr>
        <w:t>装配式施工模拟最终成绩按</w:t>
      </w:r>
      <w:r>
        <w:rPr>
          <w:color w:val="auto"/>
          <w:spacing w:val="-3"/>
          <w:sz w:val="24"/>
          <w:szCs w:val="24"/>
        </w:rPr>
        <w:t>百分制折算。</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21"/>
        <w:jc w:val="left"/>
        <w:textAlignment w:val="baseline"/>
        <w:outlineLvl w:val="0"/>
        <w:rPr>
          <w:rFonts w:ascii="微软雅黑" w:hAnsi="微软雅黑" w:eastAsia="微软雅黑" w:cs="微软雅黑"/>
          <w:color w:val="auto"/>
          <w:spacing w:val="2"/>
          <w:sz w:val="30"/>
          <w:szCs w:val="30"/>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121"/>
        <w:jc w:val="left"/>
        <w:textAlignment w:val="baseline"/>
        <w:outlineLvl w:val="0"/>
        <w:rPr>
          <w:rFonts w:hint="default" w:ascii="微软雅黑" w:hAnsi="微软雅黑" w:eastAsia="微软雅黑" w:cs="微软雅黑"/>
          <w:color w:val="auto"/>
          <w:spacing w:val="2"/>
          <w:sz w:val="30"/>
          <w:szCs w:val="30"/>
          <w:lang w:val="en-US" w:eastAsia="zh-CN"/>
        </w:rPr>
      </w:pPr>
      <w:r>
        <w:rPr>
          <w:rFonts w:ascii="微软雅黑" w:hAnsi="微软雅黑" w:eastAsia="微软雅黑" w:cs="微软雅黑"/>
          <w:color w:val="auto"/>
          <w:spacing w:val="2"/>
          <w:sz w:val="30"/>
          <w:szCs w:val="30"/>
        </w:rPr>
        <w:t>十三、</w:t>
      </w:r>
      <w:r>
        <w:rPr>
          <w:rFonts w:hint="eastAsia" w:ascii="微软雅黑" w:hAnsi="微软雅黑" w:eastAsia="微软雅黑" w:cs="微软雅黑"/>
          <w:color w:val="auto"/>
          <w:spacing w:val="2"/>
          <w:sz w:val="30"/>
          <w:szCs w:val="30"/>
          <w:lang w:val="en-US" w:eastAsia="zh-CN"/>
        </w:rPr>
        <w:t>奖项设置</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21" w:firstLine="540" w:firstLineChars="200"/>
        <w:jc w:val="left"/>
        <w:textAlignment w:val="baseline"/>
        <w:outlineLvl w:val="0"/>
        <w:rPr>
          <w:rFonts w:hint="eastAsia" w:ascii="仿宋" w:hAnsi="仿宋" w:eastAsia="仿宋" w:cs="仿宋"/>
          <w:snapToGrid w:val="0"/>
          <w:color w:val="auto"/>
          <w:spacing w:val="-5"/>
          <w:kern w:val="0"/>
          <w:sz w:val="28"/>
          <w:szCs w:val="28"/>
          <w:lang w:val="en-US" w:eastAsia="en-US" w:bidi="ar-SA"/>
        </w:rPr>
      </w:pPr>
      <w:r>
        <w:rPr>
          <w:rFonts w:hint="eastAsia" w:ascii="仿宋" w:hAnsi="仿宋" w:eastAsia="仿宋" w:cs="仿宋"/>
          <w:snapToGrid w:val="0"/>
          <w:color w:val="auto"/>
          <w:spacing w:val="-5"/>
          <w:kern w:val="0"/>
          <w:sz w:val="28"/>
          <w:szCs w:val="28"/>
          <w:lang w:val="en-US" w:eastAsia="en-US" w:bidi="ar-SA"/>
        </w:rPr>
        <w:t>竞赛设团体奖。一等奖占比10%，二等奖占比20%，三等奖占比30%（小数点后四舍五入）。</w:t>
      </w:r>
      <w:bookmarkStart w:id="0" w:name="_GoBack"/>
      <w:bookmarkEnd w:id="0"/>
    </w:p>
    <w:p>
      <w:pPr>
        <w:keepNext w:val="0"/>
        <w:keepLines w:val="0"/>
        <w:pageBreakBefore w:val="0"/>
        <w:widowControl/>
        <w:kinsoku w:val="0"/>
        <w:wordWrap/>
        <w:overflowPunct/>
        <w:topLinePunct w:val="0"/>
        <w:autoSpaceDE w:val="0"/>
        <w:autoSpaceDN w:val="0"/>
        <w:bidi w:val="0"/>
        <w:adjustRightInd w:val="0"/>
        <w:snapToGrid w:val="0"/>
        <w:spacing w:line="360" w:lineRule="auto"/>
        <w:ind w:left="121"/>
        <w:jc w:val="left"/>
        <w:textAlignment w:val="baseline"/>
        <w:outlineLvl w:val="0"/>
        <w:rPr>
          <w:rFonts w:ascii="微软雅黑" w:hAnsi="微软雅黑" w:eastAsia="微软雅黑" w:cs="微软雅黑"/>
          <w:color w:val="auto"/>
          <w:sz w:val="30"/>
          <w:szCs w:val="30"/>
        </w:rPr>
      </w:pPr>
      <w:r>
        <w:rPr>
          <w:rFonts w:ascii="微软雅黑" w:hAnsi="微软雅黑" w:eastAsia="微软雅黑" w:cs="微软雅黑"/>
          <w:color w:val="auto"/>
          <w:spacing w:val="2"/>
          <w:sz w:val="30"/>
          <w:szCs w:val="30"/>
        </w:rPr>
        <w:t>十</w:t>
      </w:r>
      <w:r>
        <w:rPr>
          <w:rFonts w:hint="eastAsia" w:ascii="微软雅黑" w:hAnsi="微软雅黑" w:eastAsia="微软雅黑" w:cs="微软雅黑"/>
          <w:color w:val="auto"/>
          <w:spacing w:val="2"/>
          <w:sz w:val="30"/>
          <w:szCs w:val="30"/>
          <w:lang w:val="en-US" w:eastAsia="zh-CN"/>
        </w:rPr>
        <w:t>四</w:t>
      </w:r>
      <w:r>
        <w:rPr>
          <w:rFonts w:ascii="微软雅黑" w:hAnsi="微软雅黑" w:eastAsia="微软雅黑" w:cs="微软雅黑"/>
          <w:color w:val="auto"/>
          <w:spacing w:val="2"/>
          <w:sz w:val="30"/>
          <w:szCs w:val="30"/>
        </w:rPr>
        <w:t>、赛项预案</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576" w:firstLineChars="200"/>
        <w:jc w:val="left"/>
        <w:textAlignment w:val="baseline"/>
        <w:outlineLvl w:val="1"/>
        <w:rPr>
          <w:rFonts w:ascii="微软雅黑" w:hAnsi="微软雅黑" w:eastAsia="微软雅黑" w:cs="微软雅黑"/>
          <w:color w:val="auto"/>
          <w:position w:val="-5"/>
          <w:sz w:val="30"/>
          <w:szCs w:val="30"/>
        </w:rPr>
      </w:pPr>
      <w:r>
        <w:rPr>
          <w:rFonts w:hint="eastAsia" w:ascii="微软雅黑" w:hAnsi="微软雅黑" w:eastAsia="微软雅黑" w:cs="微软雅黑"/>
          <w:color w:val="auto"/>
          <w:spacing w:val="-6"/>
          <w:position w:val="-1"/>
          <w:sz w:val="30"/>
          <w:szCs w:val="30"/>
          <w:lang w:eastAsia="zh-CN"/>
        </w:rPr>
        <w:t>（</w:t>
      </w:r>
      <w:r>
        <w:rPr>
          <w:rFonts w:hint="eastAsia" w:ascii="微软雅黑" w:hAnsi="微软雅黑" w:eastAsia="微软雅黑" w:cs="微软雅黑"/>
          <w:color w:val="auto"/>
          <w:spacing w:val="-6"/>
          <w:position w:val="-1"/>
          <w:sz w:val="30"/>
          <w:szCs w:val="30"/>
          <w:lang w:val="en-US" w:eastAsia="zh-CN"/>
        </w:rPr>
        <w:t>一</w:t>
      </w:r>
      <w:r>
        <w:rPr>
          <w:rFonts w:ascii="微软雅黑" w:hAnsi="微软雅黑" w:eastAsia="微软雅黑" w:cs="微软雅黑"/>
          <w:color w:val="auto"/>
          <w:spacing w:val="-6"/>
          <w:position w:val="-1"/>
          <w:sz w:val="30"/>
          <w:szCs w:val="30"/>
        </w:rPr>
        <w:t>)</w:t>
      </w:r>
      <w:r>
        <w:rPr>
          <w:rFonts w:ascii="微软雅黑" w:hAnsi="微软雅黑" w:eastAsia="微软雅黑" w:cs="微软雅黑"/>
          <w:color w:val="auto"/>
          <w:spacing w:val="-7"/>
          <w:w w:val="95"/>
          <w:position w:val="-1"/>
          <w:sz w:val="30"/>
          <w:szCs w:val="30"/>
        </w:rPr>
        <w:t>火灾安全事故紧急处理预案</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66" w:right="376" w:firstLine="574"/>
        <w:jc w:val="left"/>
        <w:textAlignment w:val="baseline"/>
        <w:rPr>
          <w:color w:val="auto"/>
        </w:rPr>
      </w:pPr>
      <w:r>
        <w:rPr>
          <w:color w:val="auto"/>
          <w:spacing w:val="-5"/>
        </w:rPr>
        <w:t>消防及电力防护组人员要立即切断赛场内电源，立即组织</w:t>
      </w:r>
      <w:r>
        <w:rPr>
          <w:color w:val="auto"/>
          <w:spacing w:val="-6"/>
        </w:rPr>
        <w:t>相关</w:t>
      </w:r>
      <w:r>
        <w:rPr>
          <w:color w:val="auto"/>
          <w:spacing w:val="-5"/>
        </w:rPr>
        <w:t>人员利用一切救火设备救火，根据事故程度及时报告</w:t>
      </w:r>
      <w:r>
        <w:rPr>
          <w:rFonts w:ascii="Times New Roman" w:hAnsi="Times New Roman" w:eastAsia="Times New Roman" w:cs="Times New Roman"/>
          <w:color w:val="auto"/>
          <w:spacing w:val="-5"/>
        </w:rPr>
        <w:t>119</w:t>
      </w:r>
      <w:r>
        <w:rPr>
          <w:color w:val="auto"/>
          <w:spacing w:val="-5"/>
        </w:rPr>
        <w:t>、</w:t>
      </w:r>
      <w:r>
        <w:rPr>
          <w:rFonts w:ascii="Times New Roman" w:hAnsi="Times New Roman" w:eastAsia="Times New Roman" w:cs="Times New Roman"/>
          <w:color w:val="auto"/>
          <w:spacing w:val="-5"/>
        </w:rPr>
        <w:t>110</w:t>
      </w:r>
      <w:r>
        <w:rPr>
          <w:color w:val="auto"/>
          <w:spacing w:val="-5"/>
        </w:rPr>
        <w:t>请求</w:t>
      </w:r>
      <w:r>
        <w:rPr>
          <w:color w:val="auto"/>
          <w:spacing w:val="-4"/>
        </w:rPr>
        <w:t>援助安保负责人组织指挥参赛师生紧急疏散到安</w:t>
      </w:r>
      <w:r>
        <w:rPr>
          <w:color w:val="auto"/>
          <w:spacing w:val="-5"/>
        </w:rPr>
        <w:t>全地带。对轻伤人</w:t>
      </w:r>
      <w:r>
        <w:rPr>
          <w:color w:val="auto"/>
          <w:spacing w:val="-3"/>
        </w:rPr>
        <w:t>员有医护人员进行处置，对重伤人员及时送往医院救治。</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576" w:firstLineChars="200"/>
        <w:jc w:val="left"/>
        <w:textAlignment w:val="baseline"/>
        <w:outlineLvl w:val="1"/>
        <w:rPr>
          <w:rFonts w:ascii="Arial"/>
          <w:color w:val="auto"/>
          <w:sz w:val="21"/>
        </w:rPr>
      </w:pPr>
      <w:r>
        <w:rPr>
          <w:rFonts w:hint="eastAsia" w:ascii="微软雅黑" w:hAnsi="微软雅黑" w:eastAsia="微软雅黑" w:cs="微软雅黑"/>
          <w:color w:val="auto"/>
          <w:spacing w:val="-6"/>
          <w:position w:val="-1"/>
          <w:sz w:val="30"/>
          <w:szCs w:val="30"/>
          <w:lang w:eastAsia="zh-CN"/>
        </w:rPr>
        <w:t>（</w:t>
      </w:r>
      <w:r>
        <w:rPr>
          <w:rFonts w:hint="eastAsia" w:ascii="微软雅黑" w:hAnsi="微软雅黑" w:eastAsia="微软雅黑" w:cs="微软雅黑"/>
          <w:color w:val="auto"/>
          <w:spacing w:val="-6"/>
          <w:position w:val="-1"/>
          <w:sz w:val="30"/>
          <w:szCs w:val="30"/>
          <w:lang w:val="en-US" w:eastAsia="zh-CN"/>
        </w:rPr>
        <w:t>二</w:t>
      </w:r>
      <w:r>
        <w:rPr>
          <w:rFonts w:ascii="微软雅黑" w:hAnsi="微软雅黑" w:eastAsia="微软雅黑" w:cs="微软雅黑"/>
          <w:color w:val="auto"/>
          <w:spacing w:val="-6"/>
          <w:position w:val="-1"/>
          <w:sz w:val="30"/>
          <w:szCs w:val="30"/>
        </w:rPr>
        <w:t>)</w:t>
      </w:r>
      <w:r>
        <w:rPr>
          <w:rFonts w:ascii="微软雅黑" w:hAnsi="微软雅黑" w:eastAsia="微软雅黑" w:cs="微软雅黑"/>
          <w:color w:val="auto"/>
          <w:spacing w:val="-8"/>
          <w:w w:val="95"/>
          <w:position w:val="-1"/>
          <w:sz w:val="30"/>
          <w:szCs w:val="30"/>
        </w:rPr>
        <w:t>电力供应事故紧急处理预案</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66" w:right="161" w:firstLine="560"/>
        <w:jc w:val="left"/>
        <w:textAlignment w:val="baseline"/>
        <w:rPr>
          <w:color w:val="auto"/>
        </w:rPr>
      </w:pPr>
      <w:r>
        <w:rPr>
          <w:color w:val="auto"/>
          <w:spacing w:val="-6"/>
        </w:rPr>
        <w:t>若比赛过程中突发临时停电，安保负责人维持秩序的同时，积极调配专业电工，查明停电原因，采取相应措施。</w:t>
      </w:r>
      <w:r>
        <w:rPr>
          <w:color w:val="auto"/>
          <w:spacing w:val="-7"/>
        </w:rPr>
        <w:t>现场配有动力电</w:t>
      </w:r>
      <w:r>
        <w:rPr>
          <w:rFonts w:hint="eastAsia"/>
          <w:color w:val="auto"/>
          <w:spacing w:val="-7"/>
          <w:lang w:eastAsia="zh-CN"/>
        </w:rPr>
        <w:t>，</w:t>
      </w:r>
      <w:r>
        <w:rPr>
          <w:color w:val="auto"/>
          <w:spacing w:val="-8"/>
        </w:rPr>
        <w:t>以备停电时使用。</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244" w:firstLine="576" w:firstLineChars="200"/>
        <w:jc w:val="left"/>
        <w:textAlignment w:val="baseline"/>
        <w:rPr>
          <w:rFonts w:ascii="微软雅黑" w:hAnsi="微软雅黑" w:eastAsia="微软雅黑" w:cs="微软雅黑"/>
          <w:color w:val="auto"/>
          <w:spacing w:val="-7"/>
          <w:w w:val="96"/>
          <w:position w:val="-1"/>
          <w:sz w:val="30"/>
          <w:szCs w:val="30"/>
        </w:rPr>
      </w:pPr>
      <w:r>
        <w:rPr>
          <w:rFonts w:hint="eastAsia" w:ascii="微软雅黑" w:hAnsi="微软雅黑" w:eastAsia="微软雅黑" w:cs="微软雅黑"/>
          <w:color w:val="auto"/>
          <w:spacing w:val="-6"/>
          <w:position w:val="-1"/>
          <w:sz w:val="30"/>
          <w:szCs w:val="30"/>
          <w:lang w:eastAsia="zh-CN"/>
        </w:rPr>
        <w:t>（</w:t>
      </w:r>
      <w:r>
        <w:rPr>
          <w:rFonts w:hint="eastAsia" w:ascii="微软雅黑" w:hAnsi="微软雅黑" w:eastAsia="微软雅黑" w:cs="微软雅黑"/>
          <w:color w:val="auto"/>
          <w:spacing w:val="-6"/>
          <w:position w:val="-1"/>
          <w:sz w:val="30"/>
          <w:szCs w:val="30"/>
          <w:lang w:val="en-US" w:eastAsia="zh-CN"/>
        </w:rPr>
        <w:t>三</w:t>
      </w:r>
      <w:r>
        <w:rPr>
          <w:rFonts w:ascii="微软雅黑" w:hAnsi="微软雅黑" w:eastAsia="微软雅黑" w:cs="微软雅黑"/>
          <w:color w:val="auto"/>
          <w:spacing w:val="-6"/>
          <w:position w:val="-1"/>
          <w:sz w:val="30"/>
          <w:szCs w:val="30"/>
        </w:rPr>
        <w:t>)</w:t>
      </w:r>
      <w:r>
        <w:rPr>
          <w:rFonts w:ascii="微软雅黑" w:hAnsi="微软雅黑" w:eastAsia="微软雅黑" w:cs="微软雅黑"/>
          <w:color w:val="auto"/>
          <w:spacing w:val="-7"/>
          <w:w w:val="96"/>
          <w:position w:val="-1"/>
          <w:sz w:val="30"/>
          <w:szCs w:val="30"/>
        </w:rPr>
        <w:t>设备事故紧急处理预案</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80" w:right="244" w:firstLine="539"/>
        <w:jc w:val="left"/>
        <w:textAlignment w:val="baseline"/>
        <w:rPr>
          <w:color w:val="auto"/>
        </w:rPr>
      </w:pPr>
      <w:r>
        <w:rPr>
          <w:color w:val="auto"/>
          <w:spacing w:val="-13"/>
        </w:rPr>
        <w:t>正式开赛前，在监督仲裁人员的监视下，进行综合模拟演训，确保设备正常运行，预案可靠可行。赛前准备备用设备和备用赛场，若比赛过程中出现技术平台故障，技术人员立即汇报裁判长，由于设备</w:t>
      </w:r>
      <w:r>
        <w:rPr>
          <w:color w:val="auto"/>
          <w:spacing w:val="-14"/>
        </w:rPr>
        <w:t>维修和调换造成的时间延误，经裁判长确定后顺延该选手的竞赛时间</w:t>
      </w:r>
      <w:r>
        <w:rPr>
          <w:rFonts w:hint="eastAsia"/>
          <w:color w:val="auto"/>
          <w:spacing w:val="-14"/>
          <w:lang w:eastAsia="zh-CN"/>
        </w:rPr>
        <w:t>。</w:t>
      </w:r>
    </w:p>
    <w:p>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outlineLvl w:val="1"/>
        <w:rPr>
          <w:rFonts w:ascii="微软雅黑" w:hAnsi="微软雅黑" w:eastAsia="微软雅黑" w:cs="微软雅黑"/>
          <w:color w:val="auto"/>
          <w:sz w:val="30"/>
          <w:szCs w:val="30"/>
        </w:rPr>
      </w:pPr>
      <w:r>
        <w:rPr>
          <w:rFonts w:ascii="微软雅黑" w:hAnsi="微软雅黑" w:eastAsia="微软雅黑" w:cs="微软雅黑"/>
          <w:color w:val="auto"/>
          <w:spacing w:val="2"/>
          <w:sz w:val="30"/>
          <w:szCs w:val="30"/>
        </w:rPr>
        <w:t>十</w:t>
      </w:r>
      <w:r>
        <w:rPr>
          <w:rFonts w:hint="eastAsia" w:ascii="微软雅黑" w:hAnsi="微软雅黑" w:eastAsia="微软雅黑" w:cs="微软雅黑"/>
          <w:color w:val="auto"/>
          <w:spacing w:val="2"/>
          <w:sz w:val="30"/>
          <w:szCs w:val="30"/>
          <w:lang w:val="en-US" w:eastAsia="zh-CN"/>
        </w:rPr>
        <w:t>五</w:t>
      </w:r>
      <w:r>
        <w:rPr>
          <w:rFonts w:ascii="微软雅黑" w:hAnsi="微软雅黑" w:eastAsia="微软雅黑" w:cs="微软雅黑"/>
          <w:color w:val="auto"/>
          <w:spacing w:val="2"/>
          <w:sz w:val="30"/>
          <w:szCs w:val="30"/>
        </w:rPr>
        <w:t>、竞赛须知</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75" w:right="125" w:firstLine="550"/>
        <w:jc w:val="left"/>
        <w:textAlignment w:val="baseline"/>
        <w:rPr>
          <w:rFonts w:hint="default" w:ascii="微软雅黑" w:hAnsi="微软雅黑" w:eastAsia="微软雅黑" w:cs="微软雅黑"/>
          <w:color w:val="auto"/>
          <w:spacing w:val="-6"/>
          <w:position w:val="-1"/>
          <w:sz w:val="30"/>
          <w:szCs w:val="30"/>
          <w:lang w:val="en-US" w:eastAsia="zh-CN"/>
        </w:rPr>
      </w:pPr>
      <w:r>
        <w:rPr>
          <w:rFonts w:hint="eastAsia" w:ascii="微软雅黑" w:hAnsi="微软雅黑" w:eastAsia="微软雅黑" w:cs="微软雅黑"/>
          <w:color w:val="auto"/>
          <w:spacing w:val="-6"/>
          <w:position w:val="-1"/>
          <w:sz w:val="30"/>
          <w:szCs w:val="30"/>
          <w:lang w:eastAsia="zh-CN"/>
        </w:rPr>
        <w:t>（</w:t>
      </w:r>
      <w:r>
        <w:rPr>
          <w:rFonts w:hint="eastAsia" w:ascii="微软雅黑" w:hAnsi="微软雅黑" w:eastAsia="微软雅黑" w:cs="微软雅黑"/>
          <w:color w:val="auto"/>
          <w:spacing w:val="-6"/>
          <w:position w:val="-1"/>
          <w:sz w:val="30"/>
          <w:szCs w:val="30"/>
          <w:lang w:val="en-US" w:eastAsia="zh-CN"/>
        </w:rPr>
        <w:t>一</w:t>
      </w:r>
      <w:r>
        <w:rPr>
          <w:rFonts w:ascii="微软雅黑" w:hAnsi="微软雅黑" w:eastAsia="微软雅黑" w:cs="微软雅黑"/>
          <w:color w:val="auto"/>
          <w:spacing w:val="-6"/>
          <w:position w:val="-1"/>
          <w:sz w:val="30"/>
          <w:szCs w:val="30"/>
        </w:rPr>
        <w:t>)</w:t>
      </w:r>
      <w:r>
        <w:rPr>
          <w:rFonts w:hint="eastAsia" w:ascii="微软雅黑" w:hAnsi="微软雅黑" w:eastAsia="微软雅黑" w:cs="微软雅黑"/>
          <w:color w:val="auto"/>
          <w:spacing w:val="-6"/>
          <w:position w:val="-1"/>
          <w:sz w:val="30"/>
          <w:szCs w:val="30"/>
          <w:lang w:val="en-US" w:eastAsia="zh-CN"/>
        </w:rPr>
        <w:t>参数领队</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78" w:right="3" w:firstLine="560"/>
        <w:jc w:val="left"/>
        <w:textAlignment w:val="baseline"/>
        <w:rPr>
          <w:rFonts w:hint="eastAsia"/>
          <w:color w:val="auto"/>
          <w:spacing w:val="10"/>
        </w:rPr>
      </w:pPr>
      <w:r>
        <w:rPr>
          <w:rFonts w:hint="eastAsia"/>
          <w:color w:val="auto"/>
          <w:spacing w:val="10"/>
        </w:rPr>
        <w:t>1.参赛队名称统一使用规定地区的名称，不接受跨校组队报名。</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78" w:right="3" w:firstLine="560"/>
        <w:jc w:val="left"/>
        <w:textAlignment w:val="baseline"/>
        <w:rPr>
          <w:rFonts w:hint="eastAsia"/>
          <w:color w:val="auto"/>
          <w:spacing w:val="10"/>
        </w:rPr>
      </w:pPr>
      <w:r>
        <w:rPr>
          <w:rFonts w:hint="eastAsia"/>
          <w:color w:val="auto"/>
          <w:spacing w:val="10"/>
        </w:rPr>
        <w:t>2.参赛队选手在报名获得确认后，原则上不再更换，如筹备过程中，选手因故不能参赛，所在省教育主管部门需出具书面说明并按相关参赛选手资格补充人员并接受审核；竞赛开始后，参赛队不得更换参赛选手，若有参赛队员缺席，则视为自动放弃比赛。</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78" w:right="3" w:firstLine="560"/>
        <w:jc w:val="left"/>
        <w:textAlignment w:val="baseline"/>
        <w:rPr>
          <w:rFonts w:hint="eastAsia"/>
          <w:color w:val="auto"/>
          <w:spacing w:val="10"/>
        </w:rPr>
      </w:pPr>
      <w:r>
        <w:rPr>
          <w:rFonts w:hint="eastAsia"/>
          <w:color w:val="auto"/>
          <w:spacing w:val="10"/>
        </w:rPr>
        <w:t>3.参赛队对大赛组委会以后发布的所有文件都要仔细阅读，确切了解大赛时间安排、评判细节等，以保证顺利参加大赛。</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78" w:right="3" w:firstLine="560"/>
        <w:jc w:val="left"/>
        <w:textAlignment w:val="baseline"/>
        <w:rPr>
          <w:rFonts w:hint="eastAsia"/>
          <w:color w:val="auto"/>
          <w:spacing w:val="10"/>
        </w:rPr>
      </w:pPr>
      <w:r>
        <w:rPr>
          <w:rFonts w:hint="eastAsia"/>
          <w:color w:val="auto"/>
          <w:spacing w:val="10"/>
        </w:rPr>
        <w:t>4.参赛队按照大赛赛程安排，凭大赛组委会颁发的参赛证和有效身份证件参加竞赛及相关活动。</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78" w:right="3" w:firstLine="560"/>
        <w:jc w:val="left"/>
        <w:textAlignment w:val="baseline"/>
        <w:rPr>
          <w:rFonts w:hint="eastAsia"/>
          <w:color w:val="auto"/>
          <w:spacing w:val="10"/>
        </w:rPr>
      </w:pPr>
      <w:r>
        <w:rPr>
          <w:rFonts w:hint="eastAsia"/>
          <w:color w:val="auto"/>
          <w:spacing w:val="10"/>
        </w:rPr>
        <w:t>5.参赛队将通过抽签决定比赛场地和比赛顺序。</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78" w:right="3" w:firstLine="560"/>
        <w:jc w:val="left"/>
        <w:textAlignment w:val="baseline"/>
        <w:rPr>
          <w:rFonts w:hint="eastAsia"/>
          <w:color w:val="auto"/>
          <w:spacing w:val="10"/>
        </w:rPr>
      </w:pPr>
      <w:r>
        <w:rPr>
          <w:rFonts w:hint="eastAsia"/>
          <w:color w:val="auto"/>
          <w:spacing w:val="10"/>
        </w:rPr>
        <w:t>6.对于本规程没有规定的行为，裁判组有权做出裁决。在有争议的情况下，仲裁组的裁决为最终裁决，任何媒体资料都不做参考。</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78" w:right="3" w:firstLine="560"/>
        <w:jc w:val="left"/>
        <w:textAlignment w:val="baseline"/>
        <w:rPr>
          <w:color w:val="auto"/>
        </w:rPr>
      </w:pPr>
      <w:r>
        <w:rPr>
          <w:rFonts w:hint="eastAsia"/>
          <w:color w:val="auto"/>
          <w:spacing w:val="10"/>
        </w:rPr>
        <w:t>7.本竞赛项目的解释权归赛项执委会。</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75" w:right="125" w:firstLine="550"/>
        <w:jc w:val="left"/>
        <w:textAlignment w:val="baseline"/>
        <w:rPr>
          <w:rFonts w:ascii="微软雅黑" w:hAnsi="微软雅黑" w:eastAsia="微软雅黑" w:cs="微软雅黑"/>
          <w:color w:val="auto"/>
          <w:spacing w:val="-6"/>
          <w:position w:val="-1"/>
          <w:sz w:val="30"/>
          <w:szCs w:val="30"/>
        </w:rPr>
      </w:pPr>
      <w:r>
        <w:rPr>
          <w:rFonts w:hint="eastAsia" w:ascii="微软雅黑" w:hAnsi="微软雅黑" w:eastAsia="微软雅黑" w:cs="微软雅黑"/>
          <w:color w:val="auto"/>
          <w:spacing w:val="-6"/>
          <w:position w:val="-1"/>
          <w:sz w:val="30"/>
          <w:szCs w:val="30"/>
          <w:lang w:eastAsia="zh-CN"/>
        </w:rPr>
        <w:t>（</w:t>
      </w:r>
      <w:r>
        <w:rPr>
          <w:rFonts w:ascii="微软雅黑" w:hAnsi="微软雅黑" w:eastAsia="微软雅黑" w:cs="微软雅黑"/>
          <w:color w:val="auto"/>
          <w:spacing w:val="-6"/>
          <w:position w:val="-1"/>
          <w:sz w:val="30"/>
          <w:szCs w:val="30"/>
        </w:rPr>
        <w:t>二)参赛选手</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9" w:right="221" w:firstLine="556"/>
        <w:jc w:val="left"/>
        <w:textAlignment w:val="baseline"/>
        <w:rPr>
          <w:rFonts w:hint="eastAsia"/>
          <w:color w:val="auto"/>
          <w:spacing w:val="10"/>
        </w:rPr>
      </w:pPr>
      <w:r>
        <w:rPr>
          <w:rFonts w:hint="eastAsia"/>
          <w:color w:val="auto"/>
          <w:spacing w:val="10"/>
        </w:rPr>
        <w:t>1.参赛选手报到后，凭身份证领取参赛证，并核实选手参赛资格。参赛证为选手参赛的凭据。参赛选手一经确认，中途不得任意更换，否则以作弊论处，其所在参赛队不得参与团体奖项的排名。</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9" w:right="221" w:firstLine="556"/>
        <w:jc w:val="left"/>
        <w:textAlignment w:val="baseline"/>
        <w:rPr>
          <w:rFonts w:hint="eastAsia"/>
          <w:color w:val="auto"/>
          <w:spacing w:val="10"/>
        </w:rPr>
      </w:pPr>
      <w:r>
        <w:rPr>
          <w:rFonts w:hint="eastAsia"/>
          <w:color w:val="auto"/>
          <w:spacing w:val="10"/>
        </w:rPr>
        <w:t>2.参赛选手应持参赛有效证件，按竞赛顺序、项目场次和竞赛时间，提前30分钟到各考核项目指定地点接受检录。</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9" w:right="221" w:firstLine="556"/>
        <w:jc w:val="left"/>
        <w:textAlignment w:val="baseline"/>
        <w:rPr>
          <w:rFonts w:hint="eastAsia"/>
          <w:color w:val="auto"/>
          <w:spacing w:val="10"/>
        </w:rPr>
      </w:pPr>
      <w:r>
        <w:rPr>
          <w:rFonts w:hint="eastAsia"/>
          <w:color w:val="auto"/>
          <w:spacing w:val="10"/>
        </w:rPr>
        <w:t>3.检录后的选手，应在工作人员的引导下，提前15分钟到达竞赛现场，从竞赛计时开始，选手未到即取消该项目的参赛资格</w:t>
      </w:r>
      <w:r>
        <w:rPr>
          <w:rFonts w:hint="eastAsia"/>
          <w:color w:val="auto"/>
          <w:spacing w:val="10"/>
          <w:lang w:eastAsia="zh-CN"/>
        </w:rPr>
        <w:t>。</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9" w:right="221" w:firstLine="556"/>
        <w:jc w:val="left"/>
        <w:textAlignment w:val="baseline"/>
        <w:rPr>
          <w:rFonts w:hint="eastAsia"/>
          <w:color w:val="auto"/>
          <w:spacing w:val="10"/>
        </w:rPr>
      </w:pPr>
      <w:r>
        <w:rPr>
          <w:rFonts w:hint="eastAsia"/>
          <w:color w:val="auto"/>
          <w:spacing w:val="10"/>
        </w:rPr>
        <w:t>4.参赛选手进入赛场，应佩戴参赛证，并根据竞赛项目要求统一着装，做到衣着整洁，符合安全生产及竞赛要求。</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9" w:right="221" w:firstLine="556"/>
        <w:jc w:val="left"/>
        <w:textAlignment w:val="baseline"/>
        <w:rPr>
          <w:rFonts w:hint="eastAsia"/>
          <w:color w:val="auto"/>
          <w:spacing w:val="10"/>
        </w:rPr>
      </w:pPr>
      <w:r>
        <w:rPr>
          <w:rFonts w:hint="eastAsia"/>
          <w:color w:val="auto"/>
          <w:spacing w:val="10"/>
        </w:rPr>
        <w:t>5.参赛选手应认真阅读各项目竞赛操作须知，自觉遵守赛场纪律，按竞赛规则、项目与赛场要求进行竞赛，不得携带任何书面或电子资料、U盘、手机等电子通讯设备进入赛场，不得有任何舞弊行为，否则视情节轻重执行赛场纪律。</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9" w:right="221" w:firstLine="556"/>
        <w:jc w:val="left"/>
        <w:textAlignment w:val="baseline"/>
        <w:rPr>
          <w:rFonts w:hint="eastAsia"/>
          <w:color w:val="auto"/>
          <w:spacing w:val="10"/>
        </w:rPr>
      </w:pPr>
      <w:r>
        <w:rPr>
          <w:rFonts w:hint="eastAsia"/>
          <w:color w:val="auto"/>
          <w:spacing w:val="10"/>
        </w:rPr>
        <w:t>6.竞赛期间，竞赛选手应服从裁判评判，若对裁判评分产生异议，不得与裁判争执、顶撞，但可于规定时限内由领队向赛项仲裁工作组提出书面仲裁申请；由赛项仲裁工作组调查核实并处理。</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9" w:right="221" w:firstLine="556"/>
        <w:jc w:val="left"/>
        <w:textAlignment w:val="baseline"/>
        <w:rPr>
          <w:rFonts w:hint="eastAsia"/>
          <w:color w:val="auto"/>
          <w:spacing w:val="10"/>
        </w:rPr>
      </w:pPr>
      <w:r>
        <w:rPr>
          <w:rFonts w:hint="eastAsia"/>
          <w:color w:val="auto"/>
          <w:spacing w:val="10"/>
        </w:rPr>
        <w:t>7.参加技能操作竞赛的选手如提前完成作业，选手应在指定的区域等待，经裁判同意方可离开考场。</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9" w:right="221" w:firstLine="556"/>
        <w:jc w:val="left"/>
        <w:textAlignment w:val="baseline"/>
        <w:rPr>
          <w:rFonts w:hint="eastAsia"/>
          <w:color w:val="auto"/>
          <w:spacing w:val="10"/>
        </w:rPr>
      </w:pPr>
      <w:r>
        <w:rPr>
          <w:rFonts w:hint="eastAsia"/>
          <w:color w:val="auto"/>
          <w:spacing w:val="10"/>
        </w:rPr>
        <w:t>8.竞赛过程中如因竞赛设备或检测仪器发生故障，应及时报告裁判，不得私自处理，否则取消本场次比赛资格。</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9" w:right="221" w:firstLine="556"/>
        <w:jc w:val="left"/>
        <w:textAlignment w:val="baseline"/>
        <w:rPr>
          <w:rFonts w:hint="eastAsia" w:eastAsia="仿宋"/>
          <w:color w:val="auto"/>
          <w:lang w:eastAsia="zh-CN"/>
        </w:rPr>
      </w:pPr>
      <w:r>
        <w:rPr>
          <w:rFonts w:hint="eastAsia"/>
          <w:color w:val="auto"/>
          <w:spacing w:val="10"/>
        </w:rPr>
        <w:t>9.比赛时，其他非本场参赛选手不得进入比赛现场参与比赛</w:t>
      </w:r>
      <w:r>
        <w:rPr>
          <w:rFonts w:hint="eastAsia"/>
          <w:color w:val="auto"/>
          <w:spacing w:val="10"/>
          <w:lang w:eastAsia="zh-CN"/>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706"/>
        <w:jc w:val="left"/>
        <w:textAlignment w:val="baseline"/>
        <w:outlineLvl w:val="1"/>
        <w:rPr>
          <w:rFonts w:hint="default" w:ascii="Arial" w:eastAsia="微软雅黑"/>
          <w:color w:val="auto"/>
          <w:sz w:val="21"/>
          <w:lang w:val="en-US" w:eastAsia="zh-CN"/>
        </w:rPr>
      </w:pPr>
      <w:r>
        <w:rPr>
          <w:rFonts w:hint="eastAsia" w:ascii="微软雅黑" w:hAnsi="微软雅黑" w:eastAsia="微软雅黑" w:cs="微软雅黑"/>
          <w:color w:val="auto"/>
          <w:spacing w:val="-2"/>
          <w:position w:val="-1"/>
          <w:sz w:val="30"/>
          <w:szCs w:val="30"/>
          <w:lang w:eastAsia="zh-CN"/>
        </w:rPr>
        <w:t>（</w:t>
      </w:r>
      <w:r>
        <w:rPr>
          <w:rFonts w:ascii="微软雅黑" w:hAnsi="微软雅黑" w:eastAsia="微软雅黑" w:cs="微软雅黑"/>
          <w:color w:val="auto"/>
          <w:spacing w:val="-2"/>
          <w:position w:val="-1"/>
          <w:sz w:val="30"/>
          <w:szCs w:val="30"/>
        </w:rPr>
        <w:t>三)</w:t>
      </w:r>
      <w:r>
        <w:rPr>
          <w:rFonts w:hint="eastAsia" w:ascii="微软雅黑" w:hAnsi="微软雅黑" w:eastAsia="微软雅黑" w:cs="微软雅黑"/>
          <w:color w:val="auto"/>
          <w:spacing w:val="-2"/>
          <w:position w:val="-1"/>
          <w:sz w:val="30"/>
          <w:szCs w:val="30"/>
          <w:lang w:val="en-US" w:eastAsia="zh-CN"/>
        </w:rPr>
        <w:t>工作人员</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8" w:firstLine="560" w:firstLineChars="200"/>
        <w:jc w:val="left"/>
        <w:textAlignment w:val="baseline"/>
        <w:outlineLvl w:val="0"/>
        <w:rPr>
          <w:rFonts w:hint="eastAsia" w:ascii="仿宋" w:hAnsi="仿宋" w:eastAsia="仿宋" w:cs="仿宋"/>
          <w:sz w:val="28"/>
          <w:szCs w:val="28"/>
        </w:rPr>
      </w:pPr>
      <w:r>
        <w:rPr>
          <w:rFonts w:hint="eastAsia" w:ascii="仿宋" w:hAnsi="仿宋" w:eastAsia="仿宋" w:cs="仿宋"/>
          <w:sz w:val="28"/>
          <w:szCs w:val="28"/>
        </w:rPr>
        <w:t>1.竞赛现场设现场裁判组，负责监督检查参赛队安全有序竞赛。如遇疑问或争议，须请示裁判长，裁判长的决定为现场最终裁定。</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8" w:firstLine="560" w:firstLineChars="200"/>
        <w:jc w:val="left"/>
        <w:textAlignment w:val="baseline"/>
        <w:outlineLvl w:val="0"/>
        <w:rPr>
          <w:rFonts w:hint="eastAsia" w:ascii="仿宋" w:hAnsi="仿宋" w:eastAsia="仿宋" w:cs="仿宋"/>
          <w:sz w:val="28"/>
          <w:szCs w:val="28"/>
        </w:rPr>
      </w:pPr>
      <w:r>
        <w:rPr>
          <w:rFonts w:hint="eastAsia" w:ascii="仿宋" w:hAnsi="仿宋" w:eastAsia="仿宋" w:cs="仿宋"/>
          <w:sz w:val="28"/>
          <w:szCs w:val="28"/>
        </w:rPr>
        <w:t>2.裁判工作实行回避制度。有组队参加竞赛的院校，其教师不得参加裁判工作。</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8" w:firstLine="560" w:firstLineChars="200"/>
        <w:jc w:val="left"/>
        <w:textAlignment w:val="baseline"/>
        <w:outlineLvl w:val="0"/>
        <w:rPr>
          <w:rFonts w:hint="eastAsia" w:ascii="仿宋" w:hAnsi="仿宋" w:eastAsia="仿宋" w:cs="仿宋"/>
          <w:sz w:val="28"/>
          <w:szCs w:val="28"/>
        </w:rPr>
      </w:pPr>
      <w:r>
        <w:rPr>
          <w:rFonts w:hint="eastAsia" w:ascii="仿宋" w:hAnsi="仿宋" w:eastAsia="仿宋" w:cs="仿宋"/>
          <w:sz w:val="28"/>
          <w:szCs w:val="28"/>
        </w:rPr>
        <w:t>3.参赛队进入赛场，裁判员及赛场工作人员应按规定审查允许带入赛场的物品，经审查后如发现不允许带入赛场的物品，交由参赛队随行人员保管，赛场不提供保管服务。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8" w:firstLine="560" w:firstLineChars="200"/>
        <w:jc w:val="left"/>
        <w:textAlignment w:val="baseline"/>
        <w:outlineLvl w:val="0"/>
        <w:rPr>
          <w:rFonts w:hint="eastAsia" w:ascii="仿宋" w:hAnsi="仿宋" w:eastAsia="仿宋" w:cs="仿宋"/>
          <w:sz w:val="28"/>
          <w:szCs w:val="28"/>
        </w:rPr>
      </w:pPr>
      <w:r>
        <w:rPr>
          <w:rFonts w:hint="eastAsia" w:ascii="仿宋" w:hAnsi="仿宋" w:eastAsia="仿宋" w:cs="仿宋"/>
          <w:sz w:val="28"/>
          <w:szCs w:val="28"/>
        </w:rPr>
        <w:t>4.竞赛期间，未经赛项执委会允许，竞赛工作人员与裁判等任何相关人员均不得泄露或提供竞赛选手的个人信息、登录密码和竞赛情况。</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8" w:firstLine="560" w:firstLineChars="200"/>
        <w:jc w:val="left"/>
        <w:textAlignment w:val="baseline"/>
        <w:outlineLvl w:val="0"/>
        <w:rPr>
          <w:rFonts w:hint="eastAsia" w:ascii="仿宋" w:hAnsi="仿宋" w:eastAsia="仿宋" w:cs="仿宋"/>
          <w:sz w:val="28"/>
          <w:szCs w:val="28"/>
        </w:rPr>
      </w:pPr>
      <w:r>
        <w:rPr>
          <w:rFonts w:hint="eastAsia" w:ascii="仿宋" w:hAnsi="仿宋" w:eastAsia="仿宋" w:cs="仿宋"/>
          <w:sz w:val="28"/>
          <w:szCs w:val="28"/>
        </w:rPr>
        <w:t>5.竞赛成绩单及有关资料的管理，实行交接责任制。所有竞赛项目的各场次、工位以及选手竞赛成绩，由各项目裁判长汇集、计算、签字后，直接交给成绩登记统计负责人，双方签字办理交接手续。</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8" w:firstLine="560" w:firstLineChars="200"/>
        <w:jc w:val="left"/>
        <w:textAlignment w:val="baseline"/>
        <w:outlineLvl w:val="0"/>
        <w:rPr>
          <w:rFonts w:hint="eastAsia" w:ascii="仿宋" w:hAnsi="仿宋" w:eastAsia="仿宋" w:cs="仿宋"/>
          <w:sz w:val="28"/>
          <w:szCs w:val="28"/>
        </w:rPr>
      </w:pPr>
      <w:r>
        <w:rPr>
          <w:rFonts w:hint="eastAsia" w:ascii="仿宋" w:hAnsi="仿宋" w:eastAsia="仿宋" w:cs="仿宋"/>
          <w:sz w:val="28"/>
          <w:szCs w:val="28"/>
        </w:rPr>
        <w:t>6.符合下列情形之一的参赛队，经裁判组裁定后取消比赛资格：</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8" w:firstLine="560" w:firstLineChars="200"/>
        <w:jc w:val="left"/>
        <w:textAlignment w:val="baseline"/>
        <w:outlineLvl w:val="0"/>
        <w:rPr>
          <w:rFonts w:hint="eastAsia" w:ascii="仿宋" w:hAnsi="仿宋" w:eastAsia="仿宋" w:cs="仿宋"/>
          <w:sz w:val="28"/>
          <w:szCs w:val="28"/>
        </w:rPr>
      </w:pPr>
      <w:r>
        <w:rPr>
          <w:rFonts w:hint="eastAsia" w:ascii="仿宋" w:hAnsi="仿宋" w:eastAsia="仿宋" w:cs="仿宋"/>
          <w:sz w:val="28"/>
          <w:szCs w:val="28"/>
        </w:rPr>
        <w:t>（1）不服从裁判、工作人员、扰乱赛场秩序、干扰其他参赛队比赛情况，裁判组应提出警告。累计警告2次或情节特别严重，造成竞赛中止的，经裁判长裁定后中止比赛，并取消参赛资格和竞赛成绩</w:t>
      </w:r>
      <w:r>
        <w:rPr>
          <w:rFonts w:hint="eastAsia" w:ascii="仿宋" w:hAnsi="仿宋" w:eastAsia="仿宋" w:cs="仿宋"/>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8" w:firstLine="560" w:firstLineChars="200"/>
        <w:jc w:val="left"/>
        <w:textAlignment w:val="baseline"/>
        <w:outlineLvl w:val="0"/>
        <w:rPr>
          <w:rFonts w:hint="eastAsia" w:ascii="仿宋" w:hAnsi="仿宋" w:eastAsia="仿宋" w:cs="仿宋"/>
          <w:sz w:val="28"/>
          <w:szCs w:val="28"/>
        </w:rPr>
      </w:pPr>
      <w:r>
        <w:rPr>
          <w:rFonts w:hint="eastAsia" w:ascii="仿宋" w:hAnsi="仿宋" w:eastAsia="仿宋" w:cs="仿宋"/>
          <w:sz w:val="28"/>
          <w:szCs w:val="28"/>
        </w:rPr>
        <w:t>（2）竞赛过程中，产生重大安全事故、或有产生重大安全事故隐患，经裁判员提示无效的，裁判员可停止其比赛，并取消参赛资格和竞赛成绩。</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8" w:firstLine="560" w:firstLineChars="200"/>
        <w:jc w:val="left"/>
        <w:textAlignment w:val="baseline"/>
        <w:outlineLvl w:val="0"/>
      </w:pPr>
      <w:r>
        <w:rPr>
          <w:rFonts w:hint="eastAsia" w:ascii="仿宋" w:hAnsi="仿宋" w:eastAsia="仿宋" w:cs="仿宋"/>
          <w:sz w:val="28"/>
          <w:szCs w:val="28"/>
        </w:rPr>
        <w:t>（3）竞赛过程中，出现赛项规程所规定的取消比赛资格的行为</w:t>
      </w:r>
      <w:r>
        <w:rPr>
          <w:rFonts w:hint="eastAsia" w:ascii="仿宋" w:hAnsi="仿宋" w:eastAsia="仿宋" w:cs="仿宋"/>
          <w:sz w:val="28"/>
          <w:szCs w:val="28"/>
          <w:lang w:eastAsia="zh-CN"/>
        </w:rPr>
        <w:t>，</w:t>
      </w:r>
      <w:r>
        <w:rPr>
          <w:rFonts w:hint="eastAsia" w:ascii="仿宋" w:hAnsi="仿宋" w:eastAsia="仿宋" w:cs="仿宋"/>
          <w:sz w:val="28"/>
          <w:szCs w:val="28"/>
        </w:rPr>
        <w:t>裁判员可停止其比赛，并取消参赛资格和竞赛成绩。</w:t>
      </w:r>
    </w:p>
    <w:p>
      <w:pPr>
        <w:keepNext w:val="0"/>
        <w:keepLines w:val="0"/>
        <w:pageBreakBefore w:val="0"/>
        <w:widowControl/>
        <w:kinsoku w:val="0"/>
        <w:wordWrap/>
        <w:overflowPunct/>
        <w:topLinePunct w:val="0"/>
        <w:autoSpaceDE w:val="0"/>
        <w:autoSpaceDN w:val="0"/>
        <w:bidi w:val="0"/>
        <w:adjustRightInd w:val="0"/>
        <w:snapToGrid w:val="0"/>
        <w:spacing w:line="360" w:lineRule="auto"/>
        <w:ind w:left="18"/>
        <w:jc w:val="left"/>
        <w:textAlignment w:val="baseline"/>
        <w:outlineLvl w:val="0"/>
        <w:rPr>
          <w:rFonts w:ascii="微软雅黑" w:hAnsi="微软雅黑" w:eastAsia="微软雅黑" w:cs="微软雅黑"/>
          <w:color w:val="auto"/>
          <w:sz w:val="29"/>
          <w:szCs w:val="29"/>
        </w:rPr>
      </w:pPr>
      <w:r>
        <w:rPr>
          <w:rFonts w:ascii="微软雅黑" w:hAnsi="微软雅黑" w:eastAsia="微软雅黑" w:cs="微软雅黑"/>
          <w:color w:val="auto"/>
          <w:spacing w:val="9"/>
          <w:sz w:val="29"/>
          <w:szCs w:val="29"/>
        </w:rPr>
        <w:t>十</w:t>
      </w:r>
      <w:r>
        <w:rPr>
          <w:rFonts w:hint="eastAsia" w:ascii="微软雅黑" w:hAnsi="微软雅黑" w:eastAsia="微软雅黑" w:cs="微软雅黑"/>
          <w:color w:val="auto"/>
          <w:spacing w:val="9"/>
          <w:sz w:val="29"/>
          <w:szCs w:val="29"/>
          <w:lang w:val="en-US" w:eastAsia="zh-CN"/>
        </w:rPr>
        <w:t>六</w:t>
      </w:r>
      <w:r>
        <w:rPr>
          <w:rFonts w:ascii="微软雅黑" w:hAnsi="微软雅黑" w:eastAsia="微软雅黑" w:cs="微软雅黑"/>
          <w:color w:val="auto"/>
          <w:spacing w:val="9"/>
          <w:sz w:val="29"/>
          <w:szCs w:val="29"/>
        </w:rPr>
        <w:t>、申诉与仲裁</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72" w:firstLineChars="200"/>
        <w:jc w:val="left"/>
        <w:textAlignment w:val="baseline"/>
        <w:rPr>
          <w:color w:val="auto"/>
        </w:rPr>
      </w:pPr>
      <w:r>
        <w:rPr>
          <w:rFonts w:hint="eastAsia"/>
          <w:color w:val="auto"/>
          <w:spacing w:val="3"/>
        </w:rPr>
        <w:t>本赛项在比赛过程中若出现有失公正或有关人员违规等现象，代表队领队可在比赛结束后2小时之内向仲裁组提出书面申诉。大赛采取两级仲裁机制。赛项设仲裁组，赛区设仲裁委员会。大赛执委会办公室选派人员参加赛区仲裁委员会工作。赛项仲裁组在接到申诉后的2小时内组织复议，并及时书面反馈复议结果。申诉方对复议结果仍有异议，可由市领队向赛区仲裁委员会提出书面申诉。赛区仲裁委员会的仲裁结果为最终结果。不得违反程序跨级申诉，否则赛项组织方有权不予复议。</w:t>
      </w:r>
    </w:p>
    <w:sectPr>
      <w:footerReference r:id="rId5" w:type="default"/>
      <w:pgSz w:w="11906" w:h="16840"/>
      <w:pgMar w:top="1388" w:right="1698" w:bottom="1360" w:left="1785" w:header="0" w:footer="112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5" w:lineRule="auto"/>
      <w:ind w:left="3693"/>
      <w:rPr>
        <w:rFonts w:ascii="宋体" w:hAnsi="宋体" w:eastAsia="宋体" w:cs="宋体"/>
        <w:sz w:val="24"/>
        <w:szCs w:val="24"/>
      </w:rPr>
    </w:pPr>
    <w:r>
      <w:rPr>
        <w:rFonts w:ascii="宋体" w:hAnsi="宋体" w:eastAsia="宋体" w:cs="宋体"/>
        <w:spacing w:val="-5"/>
        <w:sz w:val="24"/>
        <w:szCs w:val="24"/>
      </w:rPr>
      <w:t>—26—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RkZTVkZmY4NWJjM2MxODZlNzI2NzY0ZmY5YmUyZjIifQ=="/>
  </w:docVars>
  <w:rsids>
    <w:rsidRoot w:val="00000000"/>
    <w:rsid w:val="06EE49A8"/>
    <w:rsid w:val="13C45F8F"/>
    <w:rsid w:val="21985DC8"/>
    <w:rsid w:val="21B22FA5"/>
    <w:rsid w:val="2F8373E0"/>
    <w:rsid w:val="34E702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仿宋" w:hAnsi="仿宋" w:eastAsia="仿宋" w:cs="仿宋"/>
      <w:sz w:val="28"/>
      <w:szCs w:val="28"/>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6</TotalTime>
  <ScaleCrop>false</ScaleCrop>
  <LinksUpToDate>false</LinksUpToDate>
  <Application>WPS Office_12.1.0.15712_F1E327BC-269C-435d-A152-05C5408002CA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2023-09-10T12:03:00Z</dcterms:created>
  <dc:creator>Administrator</dc:creator>
  <cp:lastModifiedBy>何振鲁</cp:lastModifiedBy>
  <dcterms:modified xsi:type="dcterms:W3CDTF">2023-11-12T05:14:02Z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2023-11-09T17:43:45Z</vt:filetime>
  </property>
  <property fmtid="{D5CDD505-2E9C-101B-9397-08002B2CF9AE}" pid="4" name="KSOProductBuildVer">
    <vt:lpwstr>2052-12.1.0.15712</vt:lpwstr>
  </property>
  <property fmtid="{D5CDD505-2E9C-101B-9397-08002B2CF9AE}" pid="5" name="ICV">
    <vt:lpwstr>999B9E1FA81446DDB3E0B2F0BC411BFD_13</vt:lpwstr>
  </property>
</Properties>
</file>