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54" w:firstLineChars="98"/>
        <w:rPr>
          <w:rFonts w:ascii="宋体" w:hAnsi="宋体"/>
          <w:b/>
          <w:sz w:val="36"/>
          <w:szCs w:val="36"/>
        </w:rPr>
      </w:pPr>
      <w:r>
        <w:rPr>
          <w:rFonts w:hint="eastAsia" w:ascii="宋体" w:hAnsi="宋体"/>
          <w:b/>
          <w:sz w:val="36"/>
          <w:szCs w:val="36"/>
        </w:rPr>
        <w:t>202</w:t>
      </w:r>
      <w:r>
        <w:rPr>
          <w:rFonts w:hint="eastAsia" w:ascii="宋体" w:hAnsi="宋体"/>
          <w:b/>
          <w:sz w:val="36"/>
          <w:szCs w:val="36"/>
          <w:lang w:val="en-US" w:eastAsia="zh-CN"/>
        </w:rPr>
        <w:t>3</w:t>
      </w:r>
      <w:r>
        <w:rPr>
          <w:rFonts w:hint="eastAsia" w:ascii="宋体" w:hAnsi="宋体"/>
          <w:b/>
          <w:sz w:val="36"/>
          <w:szCs w:val="36"/>
        </w:rPr>
        <w:t>年兰州市中等职业学校技能大赛赛项规程</w:t>
      </w:r>
    </w:p>
    <w:p>
      <w:pPr>
        <w:ind w:firstLine="1789" w:firstLineChars="495"/>
        <w:rPr>
          <w:rFonts w:ascii="宋体" w:hAnsi="宋体"/>
          <w:b/>
          <w:sz w:val="36"/>
          <w:szCs w:val="36"/>
        </w:rPr>
      </w:pPr>
      <w:r>
        <w:rPr>
          <w:rFonts w:hint="eastAsia" w:ascii="宋体" w:hAnsi="宋体"/>
          <w:b/>
          <w:sz w:val="36"/>
          <w:szCs w:val="36"/>
        </w:rPr>
        <w:t>“美容美发技能比赛”竞赛规程</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rPr>
        <w:t>美容美发技能比赛</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赛项归属：现代服务业</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二、竞赛目的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通过比赛，展示中职美发与形象设计和美容美体专业选手的专业素养和操作技能，检验学生的技术水平和创新能力，检验中职学校美容美发专业的教育教学成果，引领其专业建设的发展方向，促进专业教学改革和教育教学质量的整体提升，加快产教融合人才培养和课程改革与创新的步伐。向社会宣传职业教育成就，进一步促进职业院校美容美发类专业毕业生就业，培育工匠精神，为行业企业培养高素质劳动者和技术技能人才。</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widowControl/>
        <w:spacing w:line="560" w:lineRule="exact"/>
        <w:ind w:left="1261" w:leftChars="267" w:hanging="700" w:hangingChars="250"/>
        <w:jc w:val="left"/>
        <w:rPr>
          <w:rFonts w:ascii="仿宋_GB2312" w:hAnsi="仿宋_GB2312" w:eastAsia="仿宋_GB2312" w:cs="宋体"/>
          <w:color w:val="000000" w:themeColor="text1"/>
          <w:sz w:val="28"/>
          <w:szCs w:val="28"/>
        </w:rPr>
      </w:pPr>
      <w:r>
        <w:rPr>
          <w:rFonts w:hint="eastAsia" w:ascii="仿宋_GB2312" w:hAnsi="仿宋_GB2312" w:eastAsia="仿宋_GB2312" w:cs="宋体"/>
          <w:sz w:val="28"/>
          <w:szCs w:val="28"/>
        </w:rPr>
        <w:t>赛项一：美发类比赛“标准卷杠”</w:t>
      </w:r>
      <w:r>
        <w:rPr>
          <w:rFonts w:hint="eastAsia" w:ascii="仿宋_GB2312" w:hAnsi="仿宋_GB2312" w:eastAsia="仿宋_GB2312" w:cs="宋体"/>
          <w:color w:val="FF0000"/>
          <w:sz w:val="28"/>
          <w:szCs w:val="28"/>
        </w:rPr>
        <w:t xml:space="preserve"> </w:t>
      </w:r>
      <w:r>
        <w:rPr>
          <w:rFonts w:hint="eastAsia" w:ascii="仿宋_GB2312" w:hAnsi="仿宋_GB2312" w:eastAsia="仿宋_GB2312" w:cs="宋体"/>
          <w:color w:val="000000" w:themeColor="text1"/>
          <w:sz w:val="28"/>
          <w:szCs w:val="28"/>
        </w:rPr>
        <w:t>“男士波浪造型” “盘发造型”</w:t>
      </w:r>
    </w:p>
    <w:p>
      <w:pPr>
        <w:widowControl/>
        <w:spacing w:line="560" w:lineRule="exact"/>
        <w:ind w:left="1681" w:leftChars="267" w:hanging="1120" w:hangingChars="400"/>
        <w:jc w:val="left"/>
        <w:rPr>
          <w:rFonts w:ascii="仿宋_GB2312" w:hAnsi="仿宋_GB2312" w:eastAsia="仿宋_GB2312" w:cs="宋体"/>
          <w:sz w:val="28"/>
          <w:szCs w:val="28"/>
        </w:rPr>
      </w:pPr>
      <w:r>
        <w:rPr>
          <w:rFonts w:hint="eastAsia" w:ascii="仿宋_GB2312" w:hAnsi="仿宋_GB2312" w:eastAsia="仿宋_GB2312" w:cs="宋体"/>
          <w:sz w:val="28"/>
          <w:szCs w:val="28"/>
        </w:rPr>
        <w:t>赛项二：美容类比赛“新娘化妆</w:t>
      </w:r>
      <w:r>
        <w:rPr>
          <w:rFonts w:hint="eastAsia" w:ascii="仿宋_GB2312" w:hAnsi="仿宋" w:eastAsia="仿宋_GB2312" w:cs="仿宋"/>
          <w:bCs/>
          <w:sz w:val="28"/>
          <w:szCs w:val="28"/>
          <w:lang w:val="en-US" w:eastAsia="zh-CN"/>
        </w:rPr>
        <w:t>盘发</w:t>
      </w:r>
      <w:r>
        <w:rPr>
          <w:rFonts w:hint="eastAsia" w:ascii="仿宋_GB2312" w:hAnsi="仿宋_GB2312" w:eastAsia="仿宋_GB2312" w:cs="宋体"/>
          <w:sz w:val="28"/>
          <w:szCs w:val="28"/>
        </w:rPr>
        <w:t>造型”、“晚宴化妆”、</w:t>
      </w:r>
    </w:p>
    <w:p>
      <w:pPr>
        <w:widowControl/>
        <w:spacing w:line="560" w:lineRule="exact"/>
        <w:ind w:left="1680" w:leftChars="600" w:hanging="420" w:hangingChars="150"/>
        <w:jc w:val="left"/>
        <w:rPr>
          <w:rFonts w:ascii="仿宋_GB2312" w:hAnsi="仿宋_GB2312" w:eastAsia="仿宋_GB2312" w:cs="仿宋_GB2312"/>
          <w:sz w:val="28"/>
          <w:szCs w:val="28"/>
        </w:rPr>
      </w:pPr>
      <w:r>
        <w:rPr>
          <w:rFonts w:hint="eastAsia" w:ascii="仿宋_GB2312" w:hAnsi="仿宋_GB2312" w:eastAsia="仿宋_GB2312" w:cs="宋体"/>
          <w:sz w:val="28"/>
          <w:szCs w:val="28"/>
        </w:rPr>
        <w:t>“面部皮肤管理”。</w:t>
      </w:r>
      <w:r>
        <w:rPr>
          <w:rFonts w:hint="eastAsia" w:ascii="仿宋_GB2312" w:hAnsi="仿宋_GB2312" w:eastAsia="仿宋_GB2312" w:cs="仿宋_GB2312"/>
          <w:sz w:val="28"/>
          <w:szCs w:val="28"/>
        </w:rPr>
        <w:t xml:space="preserve"> </w:t>
      </w:r>
    </w:p>
    <w:p>
      <w:pPr>
        <w:widowControl/>
        <w:spacing w:line="560" w:lineRule="exact"/>
        <w:ind w:left="1681" w:leftChars="267" w:hanging="1120" w:hangingChars="400"/>
        <w:jc w:val="lef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（二）竞赛时间：</w:t>
      </w:r>
      <w:r>
        <w:rPr>
          <w:rFonts w:hint="eastAsia" w:ascii="仿宋_GB2312" w:hAnsi="仿宋_GB2312" w:eastAsia="仿宋_GB2312" w:cs="仿宋_GB2312"/>
          <w:sz w:val="28"/>
          <w:szCs w:val="28"/>
          <w:lang w:val="en-US" w:eastAsia="zh-CN"/>
        </w:rPr>
        <w:t>3月15日</w:t>
      </w:r>
      <w:bookmarkStart w:id="1" w:name="_GoBack"/>
      <w:bookmarkEnd w:id="1"/>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四、竞赛方式</w:t>
      </w:r>
    </w:p>
    <w:p>
      <w:pPr>
        <w:widowControl/>
        <w:spacing w:line="560" w:lineRule="exact"/>
        <w:ind w:firstLine="560" w:firstLineChars="200"/>
        <w:jc w:val="left"/>
        <w:rPr>
          <w:rFonts w:ascii="仿宋_GB2312" w:hAnsi="仿宋_GB2312" w:eastAsia="仿宋_GB2312" w:cs="宋体"/>
          <w:sz w:val="28"/>
          <w:szCs w:val="28"/>
        </w:rPr>
      </w:pPr>
      <w:r>
        <w:rPr>
          <w:rFonts w:hint="eastAsia" w:ascii="仿宋_GB2312" w:hAnsi="仿宋_GB2312" w:eastAsia="仿宋_GB2312" w:cs="宋体"/>
          <w:sz w:val="28"/>
          <w:szCs w:val="28"/>
        </w:rPr>
        <w:t>1、本次大赛各赛项均为个人赛。</w:t>
      </w:r>
    </w:p>
    <w:p>
      <w:pPr>
        <w:widowControl/>
        <w:spacing w:line="560" w:lineRule="exact"/>
        <w:ind w:firstLine="560" w:firstLineChars="200"/>
        <w:jc w:val="left"/>
        <w:rPr>
          <w:rFonts w:ascii="仿宋_GB2312" w:hAnsi="仿宋_GB2312" w:eastAsia="仿宋_GB2312" w:cs="宋体"/>
          <w:sz w:val="28"/>
          <w:szCs w:val="28"/>
        </w:rPr>
      </w:pPr>
      <w:r>
        <w:rPr>
          <w:rFonts w:hint="eastAsia" w:ascii="仿宋_GB2312" w:hAnsi="仿宋_GB2312" w:eastAsia="仿宋_GB2312" w:cs="宋体"/>
          <w:sz w:val="28"/>
          <w:szCs w:val="28"/>
        </w:rPr>
        <w:t>2、赛项场次安排计划如下：</w:t>
      </w:r>
    </w:p>
    <w:p>
      <w:pPr>
        <w:widowControl/>
        <w:spacing w:line="560" w:lineRule="exact"/>
        <w:jc w:val="left"/>
        <w:rPr>
          <w:rFonts w:ascii="仿宋_GB2312" w:hAnsi="仿宋_GB2312" w:eastAsia="仿宋_GB2312" w:cs="宋体"/>
          <w:sz w:val="28"/>
          <w:szCs w:val="28"/>
        </w:rPr>
      </w:pPr>
    </w:p>
    <w:p>
      <w:pPr>
        <w:widowControl/>
        <w:spacing w:line="560" w:lineRule="exact"/>
        <w:jc w:val="left"/>
        <w:rPr>
          <w:rFonts w:ascii="仿宋_GB2312" w:hAnsi="仿宋_GB2312" w:eastAsia="仿宋_GB2312" w:cs="宋体"/>
          <w:sz w:val="28"/>
          <w:szCs w:val="28"/>
        </w:rPr>
      </w:pPr>
    </w:p>
    <w:tbl>
      <w:tblPr>
        <w:tblStyle w:val="7"/>
        <w:tblW w:w="905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850"/>
        <w:gridCol w:w="1601"/>
        <w:gridCol w:w="1578"/>
        <w:gridCol w:w="10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1" w:hRule="atLeast"/>
        </w:trPr>
        <w:tc>
          <w:tcPr>
            <w:tcW w:w="3936" w:type="dxa"/>
            <w:gridSpan w:val="2"/>
            <w:vMerge w:val="restart"/>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项目</w:t>
            </w:r>
          </w:p>
        </w:tc>
        <w:tc>
          <w:tcPr>
            <w:tcW w:w="850" w:type="dxa"/>
            <w:vMerge w:val="restart"/>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场次</w:t>
            </w:r>
          </w:p>
        </w:tc>
        <w:tc>
          <w:tcPr>
            <w:tcW w:w="3179" w:type="dxa"/>
            <w:gridSpan w:val="2"/>
            <w:vAlign w:val="center"/>
          </w:tcPr>
          <w:p>
            <w:pPr>
              <w:widowControl/>
              <w:spacing w:line="560" w:lineRule="exact"/>
              <w:ind w:firstLine="602" w:firstLineChars="250"/>
              <w:jc w:val="center"/>
              <w:rPr>
                <w:rFonts w:ascii="仿宋_GB2312" w:hAnsi="仿宋_GB2312" w:eastAsia="仿宋_GB2312" w:cs="仿宋_GB2312"/>
                <w:b/>
                <w:sz w:val="24"/>
              </w:rPr>
            </w:pPr>
            <w:r>
              <w:rPr>
                <w:rFonts w:hint="eastAsia" w:ascii="仿宋_GB2312" w:hAnsi="仿宋_GB2312" w:eastAsia="仿宋_GB2312" w:cs="仿宋_GB2312"/>
                <w:b/>
                <w:sz w:val="24"/>
              </w:rPr>
              <w:t>时间安排</w:t>
            </w:r>
          </w:p>
        </w:tc>
        <w:tc>
          <w:tcPr>
            <w:tcW w:w="1087" w:type="dxa"/>
            <w:vMerge w:val="restart"/>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竞赛</w:t>
            </w:r>
          </w:p>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地点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3936" w:type="dxa"/>
            <w:gridSpan w:val="2"/>
            <w:vMerge w:val="continue"/>
            <w:vAlign w:val="center"/>
          </w:tcPr>
          <w:p>
            <w:pPr>
              <w:widowControl/>
              <w:spacing w:line="560" w:lineRule="exact"/>
              <w:jc w:val="center"/>
              <w:rPr>
                <w:rFonts w:ascii="仿宋_GB2312" w:hAnsi="仿宋_GB2312" w:eastAsia="仿宋_GB2312" w:cs="仿宋_GB2312"/>
                <w:b/>
                <w:sz w:val="24"/>
              </w:rPr>
            </w:pPr>
          </w:p>
        </w:tc>
        <w:tc>
          <w:tcPr>
            <w:tcW w:w="850" w:type="dxa"/>
            <w:vMerge w:val="continue"/>
            <w:vAlign w:val="center"/>
          </w:tcPr>
          <w:p>
            <w:pPr>
              <w:widowControl/>
              <w:spacing w:line="560" w:lineRule="exact"/>
              <w:jc w:val="center"/>
              <w:rPr>
                <w:rFonts w:ascii="仿宋_GB2312" w:hAnsi="仿宋_GB2312" w:eastAsia="仿宋_GB2312" w:cs="仿宋_GB2312"/>
                <w:b/>
                <w:sz w:val="24"/>
              </w:rPr>
            </w:pPr>
          </w:p>
        </w:tc>
        <w:tc>
          <w:tcPr>
            <w:tcW w:w="1601" w:type="dxa"/>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检录时间</w:t>
            </w:r>
          </w:p>
        </w:tc>
        <w:tc>
          <w:tcPr>
            <w:tcW w:w="1578" w:type="dxa"/>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竞赛时间</w:t>
            </w:r>
          </w:p>
        </w:tc>
        <w:tc>
          <w:tcPr>
            <w:tcW w:w="1087" w:type="dxa"/>
            <w:vMerge w:val="continue"/>
            <w:vAlign w:val="center"/>
          </w:tcPr>
          <w:p>
            <w:pPr>
              <w:widowControl/>
              <w:spacing w:line="560" w:lineRule="exact"/>
              <w:jc w:val="center"/>
              <w:rPr>
                <w:rFonts w:ascii="仿宋_GB2312" w:hAnsi="仿宋_GB2312" w:eastAsia="仿宋_GB2312" w:cs="仿宋_GB2312"/>
                <w:b/>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1" w:hRule="atLeast"/>
        </w:trPr>
        <w:tc>
          <w:tcPr>
            <w:tcW w:w="1384" w:type="dxa"/>
            <w:vMerge w:val="restart"/>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美发类</w:t>
            </w: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标准卷杠</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601" w:type="dxa"/>
            <w:vAlign w:val="center"/>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8:30-8:50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9:10-9:50</w:t>
            </w:r>
          </w:p>
        </w:tc>
        <w:tc>
          <w:tcPr>
            <w:tcW w:w="1087"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4002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男士波浪造型</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601"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9:30-9:50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10:10-10:55</w:t>
            </w:r>
          </w:p>
        </w:tc>
        <w:tc>
          <w:tcPr>
            <w:tcW w:w="1087"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4"/>
              </w:rPr>
              <w:t>4002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宋体"/>
                <w:sz w:val="24"/>
              </w:rPr>
            </w:pPr>
            <w:r>
              <w:rPr>
                <w:rFonts w:hint="eastAsia" w:ascii="仿宋_GB2312" w:hAnsi="仿宋_GB2312" w:eastAsia="仿宋_GB2312" w:cs="宋体"/>
                <w:sz w:val="24"/>
              </w:rPr>
              <w:t>盘发造型</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1601" w:type="dxa"/>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10:30-10:50</w:t>
            </w:r>
          </w:p>
        </w:tc>
        <w:tc>
          <w:tcPr>
            <w:tcW w:w="1578" w:type="dxa"/>
            <w:vAlign w:val="center"/>
          </w:tcPr>
          <w:p>
            <w:pPr>
              <w:widowControl/>
              <w:spacing w:line="5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11:10-</w:t>
            </w:r>
            <w:r>
              <w:rPr>
                <w:rFonts w:hint="eastAsia" w:ascii="仿宋_GB2312" w:hAnsi="仿宋_GB2312" w:eastAsia="仿宋_GB2312" w:cs="仿宋_GB2312"/>
                <w:szCs w:val="21"/>
                <w:lang w:val="en-US" w:eastAsia="zh-CN"/>
              </w:rPr>
              <w:t>12</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10</w:t>
            </w:r>
          </w:p>
        </w:tc>
        <w:tc>
          <w:tcPr>
            <w:tcW w:w="1087" w:type="dxa"/>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4002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1" w:hRule="atLeast"/>
        </w:trPr>
        <w:tc>
          <w:tcPr>
            <w:tcW w:w="1384" w:type="dxa"/>
            <w:vMerge w:val="restart"/>
            <w:vAlign w:val="center"/>
          </w:tcPr>
          <w:p>
            <w:pPr>
              <w:widowControl/>
              <w:spacing w:line="560" w:lineRule="exact"/>
              <w:ind w:firstLine="240" w:firstLineChars="100"/>
              <w:rPr>
                <w:rFonts w:ascii="仿宋_GB2312" w:hAnsi="仿宋_GB2312" w:eastAsia="仿宋_GB2312" w:cs="宋体"/>
                <w:sz w:val="24"/>
              </w:rPr>
            </w:pPr>
            <w:r>
              <w:rPr>
                <w:rFonts w:hint="eastAsia" w:ascii="仿宋_GB2312" w:hAnsi="仿宋_GB2312" w:eastAsia="仿宋_GB2312" w:cs="宋体"/>
                <w:sz w:val="24"/>
              </w:rPr>
              <w:t>美容类</w:t>
            </w: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新娘化妆</w:t>
            </w:r>
            <w:r>
              <w:rPr>
                <w:rFonts w:hint="eastAsia" w:ascii="仿宋_GB2312" w:hAnsi="仿宋_GB2312" w:eastAsia="仿宋_GB2312" w:cs="宋体"/>
                <w:sz w:val="24"/>
                <w:lang w:val="en-US" w:eastAsia="zh-CN"/>
              </w:rPr>
              <w:t>盘发</w:t>
            </w:r>
            <w:r>
              <w:rPr>
                <w:rFonts w:hint="eastAsia" w:ascii="仿宋_GB2312" w:hAnsi="仿宋_GB2312" w:eastAsia="仿宋_GB2312" w:cs="宋体"/>
                <w:sz w:val="24"/>
              </w:rPr>
              <w:t>造型</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601"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8:30-8:50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9:00-10:20</w:t>
            </w:r>
          </w:p>
        </w:tc>
        <w:tc>
          <w:tcPr>
            <w:tcW w:w="1087"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4"/>
              </w:rPr>
              <w:t>5004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晚宴化妆</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601"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9:20-9:40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10:30-12:00</w:t>
            </w:r>
          </w:p>
        </w:tc>
        <w:tc>
          <w:tcPr>
            <w:tcW w:w="1087"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4"/>
              </w:rPr>
              <w:t>5004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面部皮肤管理</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601" w:type="dxa"/>
            <w:vAlign w:val="center"/>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8:30-8:50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9:10-10:10</w:t>
            </w:r>
          </w:p>
        </w:tc>
        <w:tc>
          <w:tcPr>
            <w:tcW w:w="1087" w:type="dxa"/>
            <w:vAlign w:val="center"/>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4"/>
              </w:rPr>
              <w:t>4001</w:t>
            </w:r>
          </w:p>
        </w:tc>
      </w:tr>
    </w:tbl>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五、竞赛规则</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_GB2312" w:eastAsia="仿宋_GB2312" w:cs="宋体"/>
          <w:sz w:val="28"/>
          <w:szCs w:val="28"/>
        </w:rPr>
        <w:t>1.报名资格和要求</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（1）参赛选手为兰州市区县属中等职业学校和在兰省属中等职业学校在籍在校学生，年龄不超过21周岁。参赛选手只允许参加一个项目。</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（2）本次大赛各赛项均为个人比赛，包括五个赛项，均为实操比赛。1名选手限报1名辅导老师。</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（3）真人模特由参赛单位在藉学生中选择，身高标准1.60米～1.75米，三围不做规定。</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2.熟悉场地</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大赛举行前一天，大会工作人员将带领各领队熟悉检录区、备场区、比赛区等场地。</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3.开始比赛</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各项比赛均设置计时员，由裁判员现场宣布比赛开始后，计时员开始计时。</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4.比赛纪律</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（1）参赛选手凭大赛组委会颁发的参赛证和有效身份证件参加比赛及相关活动。</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（2）参赛选手进行操作比赛前须检录。检录时应出示本人身份证及参赛证，检录合格后方可参赛。凡未按时检录或检录不合格者取消参赛资格。</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（3）参赛选手应自觉遵守赛场纪律，服从裁判、听从指挥。</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（4）对于任何违反赛场纪律、扰乱赛场秩序者，视情节给予处理。</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（5）竞赛期间如遇发生火情、伤病等特殊情况，要保持镇静，服从现场工作人员指挥。遇紧急情况服从工作人员统一指挥，有秩序的撤离。</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（6）为了防控疫情，竞赛期间不设置观摩。</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（7</w:t>
      </w:r>
      <w:r>
        <w:rPr>
          <w:rFonts w:ascii="仿宋_GB2312" w:hAnsi="仿宋_GB2312" w:eastAsia="仿宋_GB2312" w:cs="宋体"/>
          <w:sz w:val="28"/>
          <w:szCs w:val="28"/>
        </w:rPr>
        <w:t>）</w:t>
      </w:r>
      <w:r>
        <w:rPr>
          <w:rFonts w:hint="eastAsia" w:ascii="仿宋_GB2312" w:hAnsi="仿宋_GB2312" w:eastAsia="仿宋_GB2312" w:cs="宋体"/>
          <w:sz w:val="28"/>
          <w:szCs w:val="28"/>
        </w:rPr>
        <w:t>所有人员要妥善保管好自己的物品及钱款，以免丢失。</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六、竞赛环境</w:t>
      </w:r>
    </w:p>
    <w:p>
      <w:pPr>
        <w:snapToGrid w:val="0"/>
        <w:spacing w:line="560" w:lineRule="exact"/>
        <w:ind w:firstLine="560" w:firstLineChars="200"/>
        <w:outlineLvl w:val="0"/>
        <w:rPr>
          <w:rFonts w:ascii="仿宋_GB2312" w:hAnsi="仿宋" w:eastAsia="仿宋_GB2312" w:cs="仿宋"/>
          <w:bCs/>
          <w:sz w:val="28"/>
          <w:szCs w:val="28"/>
        </w:rPr>
      </w:pPr>
      <w:r>
        <w:rPr>
          <w:rFonts w:hint="eastAsia" w:ascii="仿宋_GB2312" w:hAnsi="仿宋_GB2312" w:eastAsia="仿宋_GB2312" w:cs="宋体"/>
          <w:sz w:val="28"/>
          <w:szCs w:val="28"/>
        </w:rPr>
        <w:t>赛场环境严格根据</w:t>
      </w:r>
      <w:r>
        <w:rPr>
          <w:rFonts w:hint="eastAsia" w:ascii="仿宋_GB2312" w:hAnsi="仿宋" w:eastAsia="仿宋_GB2312" w:cs="仿宋"/>
          <w:bCs/>
          <w:sz w:val="28"/>
          <w:szCs w:val="28"/>
        </w:rPr>
        <w:t>比赛实际需求设计，采光、照明、通风和控温良好，环境温度、湿度符合设备使用规定。</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七、技术规范</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1.内贸行业标准《SB/T11019-2013美发服务操作流程和服务质量要求》。</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2.内贸行业《SB/T11020-2013美发美容行业岗位分类和岗位规范标准》。</w:t>
      </w:r>
    </w:p>
    <w:p>
      <w:pPr>
        <w:snapToGrid w:val="0"/>
        <w:spacing w:line="560" w:lineRule="exact"/>
        <w:outlineLvl w:val="0"/>
        <w:rPr>
          <w:rFonts w:ascii="仿宋_GB2312" w:hAnsi="仿宋" w:eastAsia="仿宋_GB2312" w:cs="仿宋"/>
          <w:b/>
          <w:bCs/>
          <w:sz w:val="28"/>
          <w:szCs w:val="28"/>
        </w:rPr>
      </w:pPr>
      <w:r>
        <w:rPr>
          <w:rFonts w:ascii="宋体" w:hAnsi="宋体" w:cs="仿宋_GB2312"/>
          <w:sz w:val="28"/>
          <w:szCs w:val="28"/>
        </w:rPr>
        <w:pict>
          <v:shape id="自选图形 20" o:spid="_x0000_s1032" o:spt="32" type="#_x0000_t32" style="position:absolute;left:0pt;margin-left:409.8pt;margin-top:21.6pt;height:0pt;width:0.05pt;z-index:251659264;mso-width-relative:page;mso-height-relative:page;" o:connectortype="straight" filled="f" coordsize="21600,21600">
            <v:path arrowok="t"/>
            <v:fill on="f" focussize="0,0"/>
            <v:stroke endarrow="block"/>
            <v:imagedata o:title=""/>
            <o:lock v:ext="edit"/>
          </v:shape>
        </w:pict>
      </w:r>
      <w:r>
        <w:rPr>
          <w:rFonts w:hint="eastAsia" w:ascii="仿宋_GB2312" w:hAnsi="仿宋" w:eastAsia="仿宋_GB2312" w:cs="仿宋"/>
          <w:b/>
          <w:bCs/>
          <w:sz w:val="28"/>
          <w:szCs w:val="28"/>
        </w:rPr>
        <w:t>八、评分标准</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赛项一</w:t>
      </w:r>
    </w:p>
    <w:p>
      <w:pPr>
        <w:snapToGrid w:val="0"/>
        <w:spacing w:line="560" w:lineRule="exact"/>
        <w:ind w:firstLine="420" w:firstLineChars="150"/>
        <w:outlineLvl w:val="0"/>
        <w:rPr>
          <w:rFonts w:ascii="仿宋_GB2312" w:hAnsi="仿宋" w:eastAsia="仿宋_GB2312" w:cs="仿宋"/>
          <w:bCs/>
          <w:sz w:val="28"/>
          <w:szCs w:val="28"/>
          <w:highlight w:val="none"/>
        </w:rPr>
      </w:pPr>
      <w:r>
        <w:rPr>
          <w:rFonts w:hint="eastAsia" w:ascii="仿宋_GB2312" w:hAnsi="仿宋" w:eastAsia="仿宋_GB2312" w:cs="仿宋"/>
          <w:bCs/>
          <w:sz w:val="28"/>
          <w:szCs w:val="28"/>
          <w:highlight w:val="none"/>
        </w:rPr>
        <w:t>1.标准卷杠竞赛评分标准</w:t>
      </w:r>
    </w:p>
    <w:p>
      <w:pPr>
        <w:snapToGrid w:val="0"/>
        <w:spacing w:line="560" w:lineRule="exact"/>
        <w:ind w:firstLine="420" w:firstLineChars="150"/>
        <w:outlineLvl w:val="0"/>
        <w:rPr>
          <w:rFonts w:ascii="仿宋_GB2312" w:hAnsi="仿宋" w:eastAsia="仿宋_GB2312" w:cs="仿宋"/>
          <w:bCs/>
          <w:sz w:val="28"/>
          <w:szCs w:val="28"/>
          <w:highlight w:val="none"/>
        </w:rPr>
      </w:pPr>
      <w:r>
        <w:rPr>
          <w:rFonts w:hint="eastAsia" w:ascii="仿宋_GB2312" w:hAnsi="仿宋" w:eastAsia="仿宋_GB2312" w:cs="仿宋"/>
          <w:bCs/>
          <w:sz w:val="28"/>
          <w:szCs w:val="28"/>
          <w:highlight w:val="none"/>
        </w:rPr>
        <w:t>（1）排列方式符合项目规定，分区均匀、划分线清晰、发片薄厚均匀、两侧卷杠数量对称、排列整齐、不压发根、不窝发稍（50分）</w:t>
      </w:r>
    </w:p>
    <w:p>
      <w:pPr>
        <w:spacing w:line="600" w:lineRule="exact"/>
        <w:ind w:firstLine="560" w:firstLineChars="200"/>
        <w:rPr>
          <w:rFonts w:ascii="仿宋_GB2312" w:hAnsi="仿宋" w:eastAsia="仿宋_GB2312" w:cs="仿宋"/>
          <w:bCs/>
          <w:sz w:val="28"/>
          <w:szCs w:val="28"/>
          <w:highlight w:val="none"/>
        </w:rPr>
      </w:pPr>
      <w:r>
        <w:rPr>
          <w:rFonts w:hint="eastAsia" w:ascii="仿宋_GB2312" w:hAnsi="仿宋" w:eastAsia="仿宋_GB2312" w:cs="仿宋"/>
          <w:bCs/>
          <w:sz w:val="28"/>
          <w:szCs w:val="28"/>
          <w:highlight w:val="none"/>
        </w:rPr>
        <w:t>（2）发丝服帖、松紧适度、平整光滑、清晰流畅，皮筋排列整齐（50分）</w:t>
      </w:r>
    </w:p>
    <w:p>
      <w:pPr>
        <w:spacing w:line="500" w:lineRule="exact"/>
        <w:ind w:firstLine="495"/>
        <w:jc w:val="left"/>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bCs/>
          <w:color w:val="000000" w:themeColor="text1"/>
          <w:sz w:val="28"/>
          <w:szCs w:val="28"/>
          <w:highlight w:val="none"/>
        </w:rPr>
        <w:t>2</w:t>
      </w:r>
      <w:r>
        <w:rPr>
          <w:rFonts w:hint="eastAsia" w:ascii="仿宋_GB2312" w:hAnsi="仿宋" w:eastAsia="仿宋_GB2312" w:cs="仿宋"/>
          <w:bCs/>
          <w:color w:val="000000" w:themeColor="text1"/>
          <w:sz w:val="28"/>
          <w:szCs w:val="28"/>
          <w:highlight w:val="none"/>
        </w:rPr>
        <w:t>、</w:t>
      </w:r>
      <w:r>
        <w:rPr>
          <w:rFonts w:hint="eastAsia" w:ascii="仿宋_GB2312" w:hAnsi="仿宋_GB2312" w:eastAsia="仿宋_GB2312" w:cs="仿宋_GB2312"/>
          <w:color w:val="000000"/>
          <w:sz w:val="28"/>
          <w:szCs w:val="28"/>
        </w:rPr>
        <w:t>男士</w:t>
      </w:r>
      <w:r>
        <w:rPr>
          <w:rFonts w:hint="eastAsia" w:ascii="仿宋_GB2312" w:hAnsi="仿宋_GB2312" w:eastAsia="仿宋_GB2312" w:cs="仿宋_GB2312"/>
          <w:color w:val="000000"/>
          <w:sz w:val="28"/>
          <w:szCs w:val="28"/>
          <w:lang w:eastAsia="zh-CN"/>
        </w:rPr>
        <w:t>波浪发型</w:t>
      </w:r>
      <w:r>
        <w:rPr>
          <w:rFonts w:hint="eastAsia" w:ascii="仿宋_GB2312" w:hAnsi="仿宋_GB2312" w:eastAsia="仿宋_GB2312" w:cs="仿宋_GB2312"/>
          <w:color w:val="000000"/>
          <w:sz w:val="28"/>
          <w:szCs w:val="28"/>
          <w:lang w:val="en-US" w:eastAsia="zh-CN"/>
        </w:rPr>
        <w:t>评分标准</w:t>
      </w:r>
    </w:p>
    <w:p>
      <w:pPr>
        <w:spacing w:line="500" w:lineRule="exact"/>
        <w:ind w:firstLine="495"/>
        <w:jc w:val="left"/>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具有丰富的专业知识，时尚，创意的设计思想，精湛的技术技巧，商业和艺术的观赏性，发型突出男士的硬朗，阳刚和帅气感。</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60分</w:t>
      </w:r>
      <w:r>
        <w:rPr>
          <w:rFonts w:hint="eastAsia" w:ascii="仿宋_GB2312" w:hAnsi="仿宋_GB2312" w:eastAsia="仿宋_GB2312" w:cs="仿宋_GB2312"/>
          <w:color w:val="000000"/>
          <w:sz w:val="28"/>
          <w:szCs w:val="28"/>
          <w:lang w:eastAsia="zh-CN"/>
        </w:rPr>
        <w:t>）</w:t>
      </w:r>
    </w:p>
    <w:p>
      <w:pPr>
        <w:spacing w:line="500" w:lineRule="exact"/>
        <w:ind w:firstLine="495"/>
        <w:jc w:val="left"/>
        <w:rPr>
          <w:rFonts w:hint="eastAsia" w:ascii="仿宋_GB2312" w:hAnsi="仿宋_GB2312" w:eastAsia="仿宋_GB2312" w:cs="仿宋_GB2312"/>
          <w:bCs/>
          <w:color w:val="000000" w:themeColor="text1"/>
          <w:sz w:val="28"/>
          <w:szCs w:val="28"/>
          <w:highlight w:val="none"/>
          <w:lang w:eastAsia="zh-CN"/>
        </w:rPr>
      </w:pP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lang w:eastAsia="zh-CN"/>
        </w:rPr>
        <w:t>吹风造型</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不得使用电卷棒、电夹板等造型设备，使用吹梳结合技巧达到造型目的</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bCs/>
          <w:color w:val="000000" w:themeColor="text1"/>
          <w:sz w:val="28"/>
          <w:szCs w:val="28"/>
          <w:highlight w:val="none"/>
          <w:lang w:eastAsia="zh-CN"/>
        </w:rPr>
        <w:t>（</w:t>
      </w:r>
      <w:r>
        <w:rPr>
          <w:rFonts w:hint="eastAsia" w:ascii="仿宋_GB2312" w:hAnsi="仿宋_GB2312" w:eastAsia="仿宋_GB2312" w:cs="仿宋_GB2312"/>
          <w:bCs/>
          <w:color w:val="000000" w:themeColor="text1"/>
          <w:sz w:val="28"/>
          <w:szCs w:val="28"/>
          <w:highlight w:val="none"/>
          <w:lang w:val="en-US" w:eastAsia="zh-CN"/>
        </w:rPr>
        <w:t>40分</w:t>
      </w:r>
      <w:r>
        <w:rPr>
          <w:rFonts w:hint="eastAsia" w:ascii="仿宋_GB2312" w:hAnsi="仿宋_GB2312" w:eastAsia="仿宋_GB2312" w:cs="仿宋_GB2312"/>
          <w:bCs/>
          <w:color w:val="000000" w:themeColor="text1"/>
          <w:sz w:val="28"/>
          <w:szCs w:val="28"/>
          <w:highlight w:val="none"/>
          <w:lang w:eastAsia="zh-CN"/>
        </w:rPr>
        <w:t>）</w:t>
      </w:r>
    </w:p>
    <w:p>
      <w:pPr>
        <w:spacing w:line="500" w:lineRule="exact"/>
        <w:ind w:firstLine="495"/>
        <w:jc w:val="left"/>
        <w:rPr>
          <w:rFonts w:ascii="仿宋_GB2312" w:hAnsi="仿宋" w:eastAsia="仿宋_GB2312" w:cs="仿宋"/>
          <w:bCs/>
          <w:color w:val="000000" w:themeColor="text1"/>
          <w:sz w:val="28"/>
          <w:szCs w:val="28"/>
          <w:highlight w:val="none"/>
        </w:rPr>
      </w:pPr>
      <w:r>
        <w:rPr>
          <w:rFonts w:hint="eastAsia" w:ascii="仿宋_GB2312" w:hAnsi="仿宋" w:eastAsia="仿宋_GB2312" w:cs="仿宋"/>
          <w:bCs/>
          <w:color w:val="000000" w:themeColor="text1"/>
          <w:sz w:val="28"/>
          <w:szCs w:val="28"/>
          <w:highlight w:val="none"/>
        </w:rPr>
        <w:t>3、盘发造型竞赛评分标准</w:t>
      </w:r>
    </w:p>
    <w:p>
      <w:pPr>
        <w:snapToGrid w:val="0"/>
        <w:spacing w:line="560" w:lineRule="exact"/>
        <w:ind w:firstLine="420" w:firstLineChars="150"/>
        <w:outlineLvl w:val="0"/>
        <w:rPr>
          <w:rFonts w:ascii="仿宋_GB2312" w:hAnsi="仿宋" w:eastAsia="仿宋_GB2312" w:cs="仿宋"/>
          <w:bCs/>
          <w:color w:val="000000" w:themeColor="text1"/>
          <w:sz w:val="28"/>
          <w:szCs w:val="28"/>
          <w:highlight w:val="none"/>
        </w:rPr>
      </w:pPr>
      <w:r>
        <w:rPr>
          <w:rFonts w:hint="eastAsia" w:ascii="仿宋_GB2312" w:hAnsi="仿宋" w:eastAsia="仿宋_GB2312" w:cs="仿宋"/>
          <w:bCs/>
          <w:color w:val="000000" w:themeColor="text1"/>
          <w:sz w:val="28"/>
          <w:szCs w:val="28"/>
          <w:highlight w:val="none"/>
        </w:rPr>
        <w:t>（1）赛前头发全部向后梳理。造型要求体现高雅、端庄，具有实用性和流行性。</w:t>
      </w:r>
      <w:r>
        <w:rPr>
          <w:rFonts w:hint="eastAsia" w:ascii="仿宋_GB2312" w:hAnsi="仿宋" w:eastAsia="仿宋_GB2312" w:cs="仿宋"/>
          <w:bCs/>
          <w:color w:val="000000" w:themeColor="text1"/>
          <w:sz w:val="28"/>
          <w:szCs w:val="28"/>
          <w:highlight w:val="none"/>
          <w:lang w:val="en-US" w:eastAsia="zh-Hans"/>
        </w:rPr>
        <w:t>能熟练运用各种工具到各种层次组合技法中,明确不同器具手法和发型变化的关系，能正确运用新的工艺技巧,发</w:t>
      </w:r>
      <w:r>
        <w:rPr>
          <w:rFonts w:hint="eastAsia" w:ascii="仿宋_GB2312" w:hAnsi="仿宋" w:eastAsia="仿宋_GB2312" w:cs="仿宋"/>
          <w:bCs/>
          <w:color w:val="000000" w:themeColor="text1"/>
          <w:sz w:val="28"/>
          <w:szCs w:val="28"/>
          <w:highlight w:val="none"/>
        </w:rPr>
        <w:t>体高度不得超过模头面部2/3。（50分）</w:t>
      </w:r>
    </w:p>
    <w:p>
      <w:pPr>
        <w:snapToGrid w:val="0"/>
        <w:spacing w:line="560" w:lineRule="exact"/>
        <w:ind w:firstLine="420" w:firstLineChars="150"/>
        <w:outlineLvl w:val="0"/>
        <w:rPr>
          <w:rFonts w:ascii="仿宋_GB2312" w:hAnsi="仿宋" w:eastAsia="仿宋_GB2312" w:cs="仿宋"/>
          <w:bCs/>
          <w:color w:val="000000" w:themeColor="text1"/>
          <w:sz w:val="28"/>
          <w:szCs w:val="28"/>
          <w:highlight w:val="none"/>
        </w:rPr>
      </w:pPr>
      <w:r>
        <w:rPr>
          <w:rFonts w:hint="eastAsia" w:ascii="仿宋_GB2312" w:hAnsi="仿宋" w:eastAsia="仿宋_GB2312" w:cs="仿宋"/>
          <w:bCs/>
          <w:color w:val="000000" w:themeColor="text1"/>
          <w:sz w:val="28"/>
          <w:szCs w:val="28"/>
          <w:highlight w:val="none"/>
        </w:rPr>
        <w:t>（2）梳理造型技术运用得当，</w:t>
      </w:r>
      <w:r>
        <w:rPr>
          <w:rFonts w:hint="eastAsia" w:ascii="仿宋_GB2312" w:hAnsi="仿宋" w:eastAsia="仿宋_GB2312" w:cs="仿宋"/>
          <w:bCs/>
          <w:color w:val="000000" w:themeColor="text1"/>
          <w:sz w:val="28"/>
          <w:szCs w:val="28"/>
          <w:highlight w:val="none"/>
          <w:lang w:val="en-US" w:eastAsia="zh-Hans"/>
        </w:rPr>
        <w:t>头发分区明确,发型各分区形态饱满,运用倒梳,打卷,垫发等基础盘发手法,</w:t>
      </w:r>
      <w:r>
        <w:rPr>
          <w:rFonts w:hint="eastAsia" w:ascii="仿宋_GB2312" w:hAnsi="仿宋" w:eastAsia="仿宋_GB2312" w:cs="仿宋"/>
          <w:bCs/>
          <w:color w:val="000000" w:themeColor="text1"/>
          <w:sz w:val="28"/>
          <w:szCs w:val="28"/>
          <w:highlight w:val="none"/>
        </w:rPr>
        <w:t>造型效果具有整体感。（50分）</w:t>
      </w:r>
    </w:p>
    <w:p>
      <w:pPr>
        <w:snapToGrid w:val="0"/>
        <w:spacing w:line="560" w:lineRule="exact"/>
        <w:ind w:firstLine="422" w:firstLineChars="150"/>
        <w:outlineLvl w:val="0"/>
        <w:rPr>
          <w:rFonts w:ascii="仿宋_GB2312" w:hAnsi="仿宋" w:eastAsia="仿宋_GB2312" w:cs="仿宋"/>
          <w:b/>
          <w:bCs/>
          <w:color w:val="000000" w:themeColor="text1"/>
          <w:sz w:val="28"/>
          <w:szCs w:val="28"/>
        </w:rPr>
      </w:pPr>
      <w:r>
        <w:rPr>
          <w:rFonts w:hint="eastAsia" w:ascii="仿宋_GB2312" w:hAnsi="仿宋" w:eastAsia="仿宋_GB2312" w:cs="仿宋"/>
          <w:b/>
          <w:bCs/>
          <w:color w:val="000000" w:themeColor="text1"/>
          <w:sz w:val="28"/>
          <w:szCs w:val="28"/>
        </w:rPr>
        <w:t>赛项二</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1.新娘化妆</w:t>
      </w:r>
      <w:r>
        <w:rPr>
          <w:rFonts w:hint="eastAsia" w:ascii="仿宋_GB2312" w:hAnsi="仿宋" w:eastAsia="仿宋_GB2312" w:cs="仿宋"/>
          <w:bCs/>
          <w:sz w:val="28"/>
          <w:szCs w:val="28"/>
          <w:lang w:val="en-US" w:eastAsia="zh-CN"/>
        </w:rPr>
        <w:t>盘发</w:t>
      </w:r>
      <w:r>
        <w:rPr>
          <w:rFonts w:hint="eastAsia" w:ascii="仿宋_GB2312" w:hAnsi="仿宋" w:eastAsia="仿宋_GB2312" w:cs="仿宋"/>
          <w:bCs/>
          <w:sz w:val="28"/>
          <w:szCs w:val="28"/>
        </w:rPr>
        <w:t>造型竞赛评分标准</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1）化妆技术40%：妆面粉底厚薄均匀，粉底颜色自然柔和，质感细腻；妆面干净，对称牢固，化妆技巧突出新娘化妆特点；色彩搭配合理，层次过渡衔接自然；五官轮廓清晰，比例均匀，妆面设计与造型意图吻合。</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（2）发型技术40%：发色与发型、发片与发型、头饰与发型和谐搭配,体现作品的原创性。</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（3）整体设计20%：妆面、发型、服饰整体造型协调搭配，符合新娘自身条件和新娘化妆要求，适用于婚庆场合，突出新娘魅力，整体造型体现实用性与时尚型结合。</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2.晚宴化妆竞赛评分标准</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1）化妆技巧60%：妆面粉底厚薄均匀，粉底颜色自然柔和，质感细腻；妆面干净，对称牢固，化妆技巧突出晚宴化妆特点；设计意图明确，构思新颖，突出主题，具有个性特征；色彩搭配合理，层次过渡衔接自然；五官轮廓立体清晰，比例均匀，妆面设计与造型意图吻合。</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（2）整体设计40%：妆面、色彩、发型、服饰搭配符合模特自身条件和晚宴化妆要求，注重整体效果，整体效果必须体现实用性和生活气息。</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3.面部皮肤管理竞赛评分标准：</w:t>
      </w:r>
    </w:p>
    <w:p>
      <w:pPr>
        <w:spacing w:line="560" w:lineRule="exact"/>
        <w:ind w:firstLine="411" w:firstLineChars="147"/>
        <w:contextualSpacing/>
        <w:rPr>
          <w:rFonts w:ascii="仿宋_GB2312" w:hAnsi="仿宋_GB2312" w:eastAsia="仿宋_GB2312" w:cs="宋体"/>
          <w:sz w:val="28"/>
          <w:szCs w:val="28"/>
        </w:rPr>
      </w:pPr>
      <w:r>
        <w:rPr>
          <w:rFonts w:hint="eastAsia" w:ascii="仿宋_GB2312" w:hAnsi="仿宋_GB2312" w:eastAsia="仿宋_GB2312" w:cs="宋体"/>
          <w:sz w:val="28"/>
          <w:szCs w:val="28"/>
        </w:rPr>
        <w:t xml:space="preserve">（1）操作技术90%：对面部进行正确的皮肤护理，操作手法规范、标准、动作熟练正确。皮肤护理过程、时间及程序科学严谨合理。  </w:t>
      </w:r>
    </w:p>
    <w:p>
      <w:pPr>
        <w:spacing w:line="560" w:lineRule="exact"/>
        <w:ind w:firstLine="411" w:firstLineChars="147"/>
        <w:contextualSpacing/>
        <w:rPr>
          <w:rFonts w:ascii="仿宋_GB2312" w:hAnsi="仿宋_GB2312" w:eastAsia="仿宋_GB2312" w:cs="宋体"/>
          <w:sz w:val="28"/>
          <w:szCs w:val="28"/>
        </w:rPr>
      </w:pPr>
      <w:r>
        <w:rPr>
          <w:rFonts w:hint="eastAsia" w:ascii="仿宋_GB2312" w:hAnsi="仿宋_GB2312" w:eastAsia="仿宋_GB2312" w:cs="宋体"/>
          <w:sz w:val="28"/>
          <w:szCs w:val="28"/>
        </w:rPr>
        <w:t>（2）卫生5%：操作时严格遵守操作流程及卫生消毒制度。</w:t>
      </w:r>
    </w:p>
    <w:p>
      <w:pPr>
        <w:spacing w:line="560" w:lineRule="exact"/>
        <w:ind w:firstLine="411" w:firstLineChars="147"/>
        <w:contextualSpacing/>
        <w:rPr>
          <w:rFonts w:ascii="仿宋_GB2312" w:hAnsi="仿宋_GB2312" w:eastAsia="仿宋_GB2312" w:cs="宋体"/>
          <w:sz w:val="28"/>
          <w:szCs w:val="28"/>
        </w:rPr>
      </w:pPr>
      <w:r>
        <w:rPr>
          <w:rFonts w:hint="eastAsia" w:ascii="仿宋_GB2312" w:hAnsi="仿宋_GB2312" w:eastAsia="仿宋_GB2312" w:cs="宋体"/>
          <w:sz w:val="28"/>
          <w:szCs w:val="28"/>
        </w:rPr>
        <w:t>（3）仪容仪表5%：化淡妆、服装整洁。</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九、评分方法</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1.评分标准制订原则</w:t>
      </w:r>
    </w:p>
    <w:p>
      <w:pPr>
        <w:snapToGrid w:val="0"/>
        <w:spacing w:line="560" w:lineRule="exact"/>
        <w:ind w:firstLine="280" w:firstLineChars="100"/>
        <w:outlineLvl w:val="0"/>
        <w:rPr>
          <w:rFonts w:ascii="仿宋_GB2312" w:hAnsi="仿宋_GB2312" w:eastAsia="仿宋_GB2312" w:cs="宋体"/>
          <w:sz w:val="28"/>
          <w:szCs w:val="28"/>
        </w:rPr>
      </w:pPr>
      <w:r>
        <w:rPr>
          <w:rFonts w:hint="eastAsia" w:ascii="仿宋_GB2312" w:hAnsi="仿宋_GB2312" w:eastAsia="仿宋_GB2312" w:cs="宋体"/>
          <w:sz w:val="28"/>
          <w:szCs w:val="28"/>
        </w:rPr>
        <w:t>从技术水平、专业知识、创意水平、整体造型方面进行评分。</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2.裁判评分方法</w:t>
      </w:r>
    </w:p>
    <w:p>
      <w:pPr>
        <w:snapToGrid w:val="0"/>
        <w:spacing w:line="560" w:lineRule="exact"/>
        <w:ind w:left="141" w:leftChars="67"/>
        <w:outlineLvl w:val="0"/>
        <w:rPr>
          <w:rFonts w:ascii="仿宋_GB2312" w:hAnsi="仿宋_GB2312" w:eastAsia="仿宋_GB2312" w:cs="宋体"/>
          <w:sz w:val="28"/>
          <w:szCs w:val="28"/>
        </w:rPr>
      </w:pPr>
      <w:r>
        <w:rPr>
          <w:rFonts w:hint="eastAsia" w:ascii="仿宋_GB2312" w:hAnsi="仿宋_GB2312" w:eastAsia="仿宋_GB2312" w:cs="宋体"/>
          <w:sz w:val="28"/>
          <w:szCs w:val="28"/>
        </w:rPr>
        <w:t>（1）采取百分制，实操以技术的准确度、熟练度作为主要评分标准，占比达70%以上。</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（2）评分办法,选手得分再减去违规扣分.</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（3）同一个项目若多名参赛选手分数一致时，按选手二次抽签号码的序号，取排序在先号码入选。例如:01 02 03 04 05,取01号序号选手入选。</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3.成绩产生方法</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比赛结束后，裁判在现场评分。</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4.成绩审核方法</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统分结束后，审查无误签字并送裁判长和仲裁组长审核签字。</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5.成绩公布方法</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经仲裁审核 无误后，成绩当天在公示区公示。</w:t>
      </w:r>
    </w:p>
    <w:p>
      <w:pPr>
        <w:spacing w:line="560" w:lineRule="exact"/>
        <w:contextualSpacing/>
        <w:rPr>
          <w:rFonts w:ascii="仿宋_GB2312" w:hAnsi="仿宋_GB2312" w:eastAsia="仿宋_GB2312" w:cs="宋体"/>
          <w:b/>
          <w:sz w:val="28"/>
          <w:szCs w:val="28"/>
        </w:rPr>
      </w:pPr>
      <w:r>
        <w:rPr>
          <w:rFonts w:hint="eastAsia" w:ascii="仿宋_GB2312" w:hAnsi="仿宋_GB2312" w:eastAsia="仿宋_GB2312" w:cs="宋体"/>
          <w:b/>
          <w:sz w:val="28"/>
          <w:szCs w:val="28"/>
        </w:rPr>
        <w:t>十、奖项设定</w:t>
      </w:r>
    </w:p>
    <w:p>
      <w:pPr>
        <w:spacing w:line="560" w:lineRule="exact"/>
        <w:contextualSpacing/>
        <w:rPr>
          <w:rFonts w:ascii="仿宋_GB2312" w:hAnsi="仿宋_GB2312" w:eastAsia="仿宋_GB2312"/>
          <w:sz w:val="28"/>
          <w:szCs w:val="28"/>
        </w:rPr>
      </w:pPr>
      <w:r>
        <w:rPr>
          <w:rFonts w:hint="eastAsia" w:ascii="仿宋_GB2312" w:hAnsi="仿宋_GB2312" w:eastAsia="仿宋_GB2312"/>
          <w:sz w:val="28"/>
          <w:szCs w:val="28"/>
        </w:rPr>
        <w:t>1.个人奖分为一等奖、二等奖、三等奖。获奖比例分别为参赛人数的15%、25%、35%。</w:t>
      </w:r>
    </w:p>
    <w:p>
      <w:pPr>
        <w:spacing w:line="560" w:lineRule="exact"/>
        <w:contextualSpacing/>
        <w:rPr>
          <w:rFonts w:ascii="仿宋_GB2312" w:hAnsi="仿宋_GB2312" w:eastAsia="仿宋_GB2312"/>
          <w:sz w:val="28"/>
          <w:szCs w:val="28"/>
        </w:rPr>
      </w:pPr>
      <w:r>
        <w:rPr>
          <w:rFonts w:hint="eastAsia" w:ascii="仿宋_GB2312" w:hAnsi="仿宋_GB2312" w:eastAsia="仿宋_GB2312"/>
          <w:sz w:val="28"/>
          <w:szCs w:val="28"/>
        </w:rPr>
        <w:t>2.获得一等奖选手的指导教师颁发优秀指导教师奖。</w:t>
      </w:r>
    </w:p>
    <w:p>
      <w:pPr>
        <w:spacing w:line="560" w:lineRule="exact"/>
        <w:contextualSpacing/>
        <w:rPr>
          <w:rFonts w:ascii="仿宋_GB2312" w:hAnsi="仿宋_GB2312" w:eastAsia="仿宋_GB2312"/>
          <w:b/>
          <w:sz w:val="28"/>
          <w:szCs w:val="28"/>
        </w:rPr>
      </w:pPr>
      <w:r>
        <w:rPr>
          <w:rFonts w:hint="eastAsia" w:ascii="仿宋_GB2312" w:hAnsi="仿宋_GB2312" w:eastAsia="仿宋_GB2312"/>
          <w:b/>
          <w:sz w:val="28"/>
          <w:szCs w:val="28"/>
        </w:rPr>
        <w:t>十一、赛项安全</w:t>
      </w:r>
    </w:p>
    <w:p>
      <w:pPr>
        <w:spacing w:line="560" w:lineRule="exact"/>
        <w:ind w:firstLine="560" w:firstLineChars="200"/>
        <w:contextualSpacing/>
        <w:rPr>
          <w:rFonts w:ascii="仿宋_GB2312" w:hAnsi="仿宋_GB2312" w:eastAsia="仿宋_GB2312"/>
          <w:sz w:val="28"/>
          <w:szCs w:val="28"/>
        </w:rPr>
      </w:pPr>
      <w:r>
        <w:rPr>
          <w:rFonts w:hint="eastAsia" w:ascii="仿宋_GB2312" w:hAnsi="仿宋_GB2312" w:eastAsia="仿宋_GB2312"/>
          <w:sz w:val="28"/>
          <w:szCs w:val="28"/>
        </w:rPr>
        <w:t>1.为确保技能大赛顺利进行，赛场安全组织均由后勤保障组负责统一指挥安排。后勤保障组将派专人负责电吹风、电推剪等电器的电压负荷检查，并防止可燃物放置于明火或高温环境中。</w:t>
      </w:r>
    </w:p>
    <w:p>
      <w:pPr>
        <w:spacing w:line="560" w:lineRule="exact"/>
        <w:ind w:firstLine="560" w:firstLineChars="200"/>
        <w:contextualSpacing/>
        <w:rPr>
          <w:rFonts w:ascii="仿宋_GB2312" w:hAnsi="仿宋_GB2312" w:eastAsia="仿宋_GB2312" w:cs="宋体"/>
          <w:b/>
          <w:sz w:val="28"/>
          <w:szCs w:val="28"/>
        </w:rPr>
      </w:pPr>
      <w:r>
        <w:rPr>
          <w:rFonts w:hint="eastAsia" w:ascii="仿宋_GB2312" w:hAnsi="仿宋_GB2312" w:eastAsia="仿宋_GB2312"/>
          <w:sz w:val="28"/>
          <w:szCs w:val="28"/>
        </w:rPr>
        <w:t>2.各领队需严格听从大赛工作人员安排，不得随意拼接电源，在未听到裁判员指令前，不得私自使用电吹风等用具进行赛前准备。同时主、承办方将进一步提高预防、控制、应急处置等突发安全事故的能力，有效预防、正确应对、及时控制、依法处置突发安全事故，规范应急处置工作，最大限度地减少损失，保障参赛选手及师生的身体健康和生命财产安全，维护大赛正常秩序，并制定相关预案。</w:t>
      </w:r>
    </w:p>
    <w:p>
      <w:pPr>
        <w:pStyle w:val="5"/>
        <w:spacing w:line="560" w:lineRule="exact"/>
        <w:contextualSpacing/>
        <w:rPr>
          <w:rFonts w:ascii="仿宋_GB2312" w:hAnsi="仿宋_GB2312" w:eastAsia="仿宋_GB2312"/>
          <w:b/>
          <w:sz w:val="28"/>
          <w:szCs w:val="28"/>
        </w:rPr>
      </w:pPr>
      <w:r>
        <w:rPr>
          <w:rFonts w:hint="eastAsia" w:ascii="仿宋_GB2312" w:hAnsi="仿宋_GB2312" w:eastAsia="仿宋_GB2312"/>
          <w:b/>
          <w:sz w:val="28"/>
          <w:szCs w:val="28"/>
        </w:rPr>
        <w:t>十二、申诉与仲裁</w:t>
      </w:r>
    </w:p>
    <w:p>
      <w:pPr>
        <w:pStyle w:val="5"/>
        <w:spacing w:line="560" w:lineRule="exact"/>
        <w:ind w:firstLine="560" w:firstLineChars="200"/>
        <w:contextualSpacing/>
        <w:rPr>
          <w:rFonts w:ascii="仿宋_GB2312" w:hAnsi="仿宋_GB2312" w:eastAsia="仿宋_GB2312"/>
          <w:sz w:val="28"/>
          <w:szCs w:val="28"/>
        </w:rPr>
      </w:pPr>
      <w:r>
        <w:rPr>
          <w:rFonts w:hint="eastAsia" w:ascii="仿宋_GB2312" w:hAnsi="仿宋_GB2312" w:eastAsia="仿宋_GB2312"/>
          <w:sz w:val="28"/>
          <w:szCs w:val="28"/>
        </w:rPr>
        <w:t>本赛项在比赛过程中若出现有失公正或有关人员违规等现象，代表队领队可在比赛结束后2小时之内向仲裁组提出申诉。大赛采取两级仲裁机制。赛项设仲裁工作组，赛区设仲裁委员会。大赛执委会办公室选派人员参加赛区仲裁委员会工作。赛项仲裁工作组在接到申诉后的2小时内组织复议，并及时反馈复议结果。申诉方对复议结果仍有异议，可由领队向赛区仲裁委员会提出申诉。赛区仲裁委员会的仲裁结果为最终结果。</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MjA0ZjEyYWEyYjNlMzFkNmI1NzM5MTQwNDRiYWY4YmEifQ=="/>
  </w:docVars>
  <w:rsids>
    <w:rsidRoot w:val="00000C73"/>
    <w:rsid w:val="00000C73"/>
    <w:rsid w:val="00024CA7"/>
    <w:rsid w:val="000439DE"/>
    <w:rsid w:val="0009363F"/>
    <w:rsid w:val="00095EF2"/>
    <w:rsid w:val="000A43DA"/>
    <w:rsid w:val="000A6A9F"/>
    <w:rsid w:val="000E4104"/>
    <w:rsid w:val="00112721"/>
    <w:rsid w:val="00127B8C"/>
    <w:rsid w:val="001341FB"/>
    <w:rsid w:val="001C10F9"/>
    <w:rsid w:val="001C6351"/>
    <w:rsid w:val="00201808"/>
    <w:rsid w:val="00203661"/>
    <w:rsid w:val="0022357E"/>
    <w:rsid w:val="002C7B82"/>
    <w:rsid w:val="002E2799"/>
    <w:rsid w:val="00301A54"/>
    <w:rsid w:val="0030545B"/>
    <w:rsid w:val="00323B43"/>
    <w:rsid w:val="003675EB"/>
    <w:rsid w:val="003B6D63"/>
    <w:rsid w:val="003C4782"/>
    <w:rsid w:val="003D37D8"/>
    <w:rsid w:val="00405690"/>
    <w:rsid w:val="00412FD2"/>
    <w:rsid w:val="00422077"/>
    <w:rsid w:val="004358AB"/>
    <w:rsid w:val="004575C5"/>
    <w:rsid w:val="004D2F56"/>
    <w:rsid w:val="004E79EB"/>
    <w:rsid w:val="004F6CAC"/>
    <w:rsid w:val="00514CDF"/>
    <w:rsid w:val="00514FC9"/>
    <w:rsid w:val="005D24BF"/>
    <w:rsid w:val="005E45F3"/>
    <w:rsid w:val="005F61D8"/>
    <w:rsid w:val="00603413"/>
    <w:rsid w:val="00617EC4"/>
    <w:rsid w:val="00652232"/>
    <w:rsid w:val="006631F4"/>
    <w:rsid w:val="00665146"/>
    <w:rsid w:val="00666C73"/>
    <w:rsid w:val="0067354D"/>
    <w:rsid w:val="00690AB1"/>
    <w:rsid w:val="006C2F4B"/>
    <w:rsid w:val="006F2135"/>
    <w:rsid w:val="00706006"/>
    <w:rsid w:val="00726E5F"/>
    <w:rsid w:val="007364D6"/>
    <w:rsid w:val="007600A8"/>
    <w:rsid w:val="007A7024"/>
    <w:rsid w:val="007D3451"/>
    <w:rsid w:val="008707A0"/>
    <w:rsid w:val="008722E4"/>
    <w:rsid w:val="008B1D41"/>
    <w:rsid w:val="008B7726"/>
    <w:rsid w:val="008E1D3A"/>
    <w:rsid w:val="00932C39"/>
    <w:rsid w:val="00941743"/>
    <w:rsid w:val="00946865"/>
    <w:rsid w:val="00974720"/>
    <w:rsid w:val="00A14549"/>
    <w:rsid w:val="00A7322B"/>
    <w:rsid w:val="00AB70C7"/>
    <w:rsid w:val="00B02F51"/>
    <w:rsid w:val="00B212CC"/>
    <w:rsid w:val="00BD5CCD"/>
    <w:rsid w:val="00BF477F"/>
    <w:rsid w:val="00C45CE4"/>
    <w:rsid w:val="00C72818"/>
    <w:rsid w:val="00C767C0"/>
    <w:rsid w:val="00CE2EDB"/>
    <w:rsid w:val="00D05502"/>
    <w:rsid w:val="00D31B8C"/>
    <w:rsid w:val="00D51474"/>
    <w:rsid w:val="00D918BE"/>
    <w:rsid w:val="00DB2018"/>
    <w:rsid w:val="00DE2B4A"/>
    <w:rsid w:val="00E2569C"/>
    <w:rsid w:val="00EF1915"/>
    <w:rsid w:val="00F27675"/>
    <w:rsid w:val="00FA1CFA"/>
    <w:rsid w:val="00FA5F11"/>
    <w:rsid w:val="00FC2D16"/>
    <w:rsid w:val="00FD5645"/>
    <w:rsid w:val="00FE435E"/>
    <w:rsid w:val="0A6F68FF"/>
    <w:rsid w:val="13AE243D"/>
    <w:rsid w:val="2506190A"/>
    <w:rsid w:val="250B5BF7"/>
    <w:rsid w:val="2E7B662F"/>
    <w:rsid w:val="3556063B"/>
    <w:rsid w:val="3747354C"/>
    <w:rsid w:val="38823BD6"/>
    <w:rsid w:val="57056440"/>
    <w:rsid w:val="5FA92D11"/>
    <w:rsid w:val="61D13A20"/>
    <w:rsid w:val="6DEE6CF8"/>
    <w:rsid w:val="6E5B0CB6"/>
    <w:rsid w:val="7CB5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2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批注框文本 Char"/>
    <w:basedOn w:val="8"/>
    <w:link w:val="2"/>
    <w:semiHidden/>
    <w:qFormat/>
    <w:uiPriority w:val="99"/>
    <w:rPr>
      <w:rFonts w:ascii="Times New Roman" w:hAnsi="Times New Roman" w:eastAsia="宋体" w:cs="Times New Roman"/>
      <w:kern w:val="2"/>
      <w:sz w:val="18"/>
      <w:szCs w:val="18"/>
    </w:rPr>
  </w:style>
  <w:style w:type="character" w:customStyle="1" w:styleId="10">
    <w:name w:val="页眉 Char"/>
    <w:basedOn w:val="8"/>
    <w:link w:val="4"/>
    <w:semiHidden/>
    <w:qFormat/>
    <w:uiPriority w:val="99"/>
    <w:rPr>
      <w:rFonts w:ascii="Times New Roman" w:hAnsi="Times New Roman" w:eastAsia="宋体" w:cs="Times New Roman"/>
      <w:kern w:val="2"/>
      <w:sz w:val="18"/>
      <w:szCs w:val="18"/>
    </w:rPr>
  </w:style>
  <w:style w:type="character" w:customStyle="1" w:styleId="11">
    <w:name w:val="页脚 Char"/>
    <w:basedOn w:val="8"/>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83983-1703-4F1E-8C88-2435337CAD0D}">
  <ds:schemaRefs/>
</ds:datastoreItem>
</file>

<file path=docProps/app.xml><?xml version="1.0" encoding="utf-8"?>
<Properties xmlns="http://schemas.openxmlformats.org/officeDocument/2006/extended-properties" xmlns:vt="http://schemas.openxmlformats.org/officeDocument/2006/docPropsVTypes">
  <Template>Normal</Template>
  <Pages>7</Pages>
  <Words>2797</Words>
  <Characters>3014</Characters>
  <Lines>24</Lines>
  <Paragraphs>6</Paragraphs>
  <TotalTime>0</TotalTime>
  <ScaleCrop>false</ScaleCrop>
  <LinksUpToDate>false</LinksUpToDate>
  <CharactersWithSpaces>3024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2020-11-21T12:16:00Z</dcterms:created>
  <dc:creator>admin</dc:creator>
  <cp:lastModifiedBy>lenovo</cp:lastModifiedBy>
  <dcterms:modified xsi:type="dcterms:W3CDTF">2023-03-01T06:17:21Z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BFB13263660948BA8B2BACFDBBC7A3FD</vt:lpwstr>
  </property>
</Properties>
</file>