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adjustRightInd w:val="0"/>
        <w:snapToGrid w:val="0"/>
        <w:spacing w:line="276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2024年兰州市中等职业学校技能大赛</w:t>
      </w:r>
      <w:bookmarkStart w:id="1" w:name="_GoBack"/>
      <w:bookmarkEnd w:id="1"/>
    </w:p>
    <w:p>
      <w:pPr>
        <w:shd w:val="clear"/>
        <w:adjustRightInd w:val="0"/>
        <w:snapToGrid w:val="0"/>
        <w:spacing w:line="276" w:lineRule="auto"/>
        <w:jc w:val="center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饲料营养与检测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赛项竞赛规程</w:t>
      </w:r>
    </w:p>
    <w:p>
      <w:pPr>
        <w:shd w:val="clear"/>
        <w:spacing w:line="560" w:lineRule="exact"/>
        <w:rPr>
          <w:rFonts w:ascii="Times New Roman" w:hAnsi="Times New Roman" w:eastAsia="仿宋_GB2312"/>
          <w:b/>
          <w:color w:val="000000"/>
          <w:sz w:val="28"/>
          <w:szCs w:val="28"/>
        </w:rPr>
      </w:pPr>
    </w:p>
    <w:p>
      <w:pPr>
        <w:shd w:val="clear"/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一、赛项名称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赛项名称：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val="en-US" w:eastAsia="zh-CN"/>
        </w:rPr>
        <w:t>饲料营养与检测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赛项组别：中职学生组</w:t>
      </w:r>
    </w:p>
    <w:p>
      <w:pPr>
        <w:shd w:val="clear"/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二、竞赛目的</w:t>
      </w:r>
    </w:p>
    <w:p>
      <w:pPr>
        <w:shd w:val="clear"/>
        <w:spacing w:line="560" w:lineRule="exact"/>
        <w:ind w:firstLine="560" w:firstLineChars="200"/>
        <w:rPr>
          <w:rFonts w:ascii="Times New Roman" w:hAnsi="Times New Roman" w:eastAsia="仿宋_GB2312"/>
          <w:bCs/>
          <w:color w:val="000000"/>
          <w:sz w:val="28"/>
          <w:szCs w:val="28"/>
        </w:rPr>
      </w:pPr>
      <w:bookmarkStart w:id="0" w:name="_Hlk97287491"/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val="en-US" w:eastAsia="zh-CN"/>
        </w:rPr>
        <w:t>项目一：</w:t>
      </w:r>
      <w:r>
        <w:rPr>
          <w:rFonts w:hint="default" w:ascii="Times New Roman" w:hAnsi="Times New Roman" w:eastAsia="仿宋_GB2312"/>
          <w:bCs/>
          <w:color w:val="000000"/>
          <w:sz w:val="28"/>
          <w:szCs w:val="28"/>
        </w:rPr>
        <w:t>选手需按照规定的称量方法，在规定的时间内称取符合要求的样品。从称量的规范性、准确性和操作熟练程度等方面考核选手。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val="en-US" w:eastAsia="zh-CN"/>
        </w:rPr>
        <w:t>项目二：</w:t>
      </w:r>
      <w:r>
        <w:rPr>
          <w:rFonts w:hint="default" w:ascii="Times New Roman" w:hAnsi="Times New Roman" w:eastAsia="仿宋_GB2312"/>
          <w:bCs/>
          <w:color w:val="000000"/>
          <w:sz w:val="28"/>
          <w:szCs w:val="28"/>
        </w:rPr>
        <w:t>选手在规定时间内完成待测样品中脂肪酸值的测定。从操作的规范性、熟练程度，以及测定结果的准确性等方面考核选手。</w:t>
      </w:r>
    </w:p>
    <w:p>
      <w:pPr>
        <w:shd w:val="clear"/>
        <w:spacing w:line="560" w:lineRule="exact"/>
        <w:ind w:firstLine="560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Cs/>
          <w:color w:val="000000"/>
          <w:sz w:val="28"/>
          <w:szCs w:val="28"/>
        </w:rPr>
        <w:t>赛项由学校、行业共设，是中职畜牧兽医专业的核心技能，通过技能竞赛，能有效促进全省畜牧兽医类专业中职学校之间的交流，引领专业建设与课程改革；能进一步深化学校与企业之间的合作交流，加大行业人才队伍建设力度，提升人才培养质量。</w:t>
      </w:r>
      <w:bookmarkEnd w:id="0"/>
    </w:p>
    <w:p>
      <w:pPr>
        <w:shd w:val="clear"/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三、竞赛内容</w:t>
      </w:r>
    </w:p>
    <w:p>
      <w:pPr>
        <w:shd w:val="clear"/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赛项分别设置理论考核和技能考核2个考评点。理论考核占总成绩的30%，竞赛时长</w:t>
      </w:r>
      <w:r>
        <w:rPr>
          <w:rFonts w:ascii="Times New Roman" w:hAnsi="Times New Roman" w:eastAsia="仿宋_GB2312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小时，本赛项考核的核心知识是《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val="en-US" w:eastAsia="zh-CN"/>
        </w:rPr>
        <w:t>畜禽营养与饲料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》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eastAsia="zh-CN"/>
        </w:rPr>
        <w:t>的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专业课程理论知识。选手根据赛项提供的理论试卷（单项选择题、判断题）作答，主要考参赛选手的知识应用能力、分析问题和解决问题能力。技能考核占总成绩的70%，为试样称量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eastAsia="zh-CN"/>
        </w:rPr>
        <w:t>、稻谷脂肪酸值的测定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，竞赛时长</w:t>
      </w:r>
      <w:r>
        <w:rPr>
          <w:rFonts w:ascii="Times New Roman" w:hAnsi="Times New Roman" w:eastAsia="仿宋_GB2312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小时。</w:t>
      </w:r>
      <w:r>
        <w:rPr>
          <w:rFonts w:eastAsia="仿宋_GB2312"/>
          <w:sz w:val="28"/>
          <w:szCs w:val="28"/>
        </w:rPr>
        <w:t>具体步骤及其分值如下：</w:t>
      </w:r>
    </w:p>
    <w:p>
      <w:pPr>
        <w:shd w:val="clear"/>
        <w:snapToGrid w:val="0"/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（一）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试样称量</w:t>
      </w:r>
      <w:r>
        <w:rPr>
          <w:rFonts w:eastAsia="仿宋_GB2312"/>
          <w:sz w:val="28"/>
          <w:szCs w:val="28"/>
        </w:rPr>
        <w:t>（占总成绩的</w:t>
      </w:r>
      <w:r>
        <w:rPr>
          <w:rFonts w:hint="eastAsia" w:eastAsia="仿宋_GB2312"/>
          <w:sz w:val="28"/>
          <w:szCs w:val="28"/>
          <w:lang w:val="en-US" w:eastAsia="zh-CN"/>
        </w:rPr>
        <w:t>28</w:t>
      </w:r>
      <w:r>
        <w:rPr>
          <w:rFonts w:eastAsia="仿宋_GB2312"/>
          <w:sz w:val="28"/>
          <w:szCs w:val="28"/>
        </w:rPr>
        <w:t>%）</w:t>
      </w:r>
    </w:p>
    <w:p>
      <w:pPr>
        <w:shd w:val="clear"/>
        <w:snapToGrid w:val="0"/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（二）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eastAsia="zh-CN"/>
        </w:rPr>
        <w:t>稻谷脂肪酸值的测定</w:t>
      </w:r>
      <w:r>
        <w:rPr>
          <w:rFonts w:eastAsia="仿宋_GB2312"/>
          <w:sz w:val="28"/>
          <w:szCs w:val="28"/>
        </w:rPr>
        <w:t>（占总成绩的</w:t>
      </w:r>
      <w:r>
        <w:rPr>
          <w:rFonts w:hint="eastAsia" w:eastAsia="仿宋_GB2312"/>
          <w:sz w:val="28"/>
          <w:szCs w:val="28"/>
          <w:lang w:val="en-US" w:eastAsia="zh-CN"/>
        </w:rPr>
        <w:t>42</w:t>
      </w:r>
      <w:r>
        <w:rPr>
          <w:rFonts w:eastAsia="仿宋_GB2312"/>
          <w:sz w:val="28"/>
          <w:szCs w:val="28"/>
        </w:rPr>
        <w:t>%）</w:t>
      </w:r>
    </w:p>
    <w:p>
      <w:pPr>
        <w:shd w:val="clear"/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四、竞赛方式和规则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Cs/>
          <w:color w:val="000000"/>
          <w:sz w:val="28"/>
          <w:szCs w:val="28"/>
        </w:rPr>
        <w:t>（一）竞赛方式</w:t>
      </w:r>
    </w:p>
    <w:p>
      <w:pPr>
        <w:shd w:val="clear"/>
        <w:snapToGrid w:val="0"/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本赛项为团体赛，</w:t>
      </w:r>
      <w:r>
        <w:rPr>
          <w:rFonts w:hint="eastAsia" w:eastAsia="仿宋_GB2312"/>
          <w:sz w:val="28"/>
          <w:szCs w:val="28"/>
        </w:rPr>
        <w:t>竞赛参赛学生为中职畜牧兽医、宠物养护与经营专业在籍学生。</w:t>
      </w:r>
      <w:r>
        <w:rPr>
          <w:rFonts w:eastAsia="仿宋_GB2312"/>
          <w:sz w:val="28"/>
          <w:szCs w:val="28"/>
        </w:rPr>
        <w:t>每组参赛队队员为2名，理论</w:t>
      </w:r>
      <w:r>
        <w:rPr>
          <w:rFonts w:hint="eastAsia" w:eastAsia="仿宋_GB2312"/>
          <w:sz w:val="28"/>
          <w:szCs w:val="28"/>
        </w:rPr>
        <w:t>竞赛</w:t>
      </w:r>
      <w:r>
        <w:rPr>
          <w:rFonts w:eastAsia="仿宋_GB2312"/>
          <w:sz w:val="28"/>
          <w:szCs w:val="28"/>
        </w:rPr>
        <w:t>部</w:t>
      </w:r>
      <w:r>
        <w:rPr>
          <w:rFonts w:eastAsia="仿宋_GB2312"/>
          <w:bCs/>
          <w:sz w:val="30"/>
          <w:szCs w:val="30"/>
        </w:rPr>
        <w:t>分，</w:t>
      </w:r>
      <w:r>
        <w:rPr>
          <w:rFonts w:eastAsia="仿宋_GB2312"/>
          <w:sz w:val="28"/>
          <w:szCs w:val="28"/>
        </w:rPr>
        <w:t>选手单独完成</w:t>
      </w:r>
      <w:r>
        <w:rPr>
          <w:rFonts w:hint="eastAsia" w:eastAsia="仿宋_GB2312"/>
          <w:sz w:val="28"/>
          <w:szCs w:val="28"/>
        </w:rPr>
        <w:t>，取两人平均成绩</w:t>
      </w:r>
      <w:r>
        <w:rPr>
          <w:rFonts w:eastAsia="仿宋_GB2312"/>
          <w:sz w:val="28"/>
          <w:szCs w:val="28"/>
        </w:rPr>
        <w:t>；技能</w:t>
      </w:r>
      <w:r>
        <w:rPr>
          <w:rFonts w:hint="eastAsia" w:eastAsia="仿宋_GB2312"/>
          <w:sz w:val="28"/>
          <w:szCs w:val="28"/>
        </w:rPr>
        <w:t>竞赛</w:t>
      </w:r>
      <w:r>
        <w:rPr>
          <w:rFonts w:eastAsia="仿宋_GB2312"/>
          <w:sz w:val="28"/>
          <w:szCs w:val="28"/>
        </w:rPr>
        <w:t>部分由2名选手配合完成，</w:t>
      </w:r>
      <w:r>
        <w:rPr>
          <w:rFonts w:hint="eastAsia" w:eastAsia="仿宋_GB2312"/>
          <w:sz w:val="28"/>
          <w:szCs w:val="28"/>
        </w:rPr>
        <w:t>1名选手完成鸡病理剖检及采样，另一名选手完成制片、染色、镜检。每组配有1名指导老师。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Cs/>
          <w:color w:val="000000"/>
          <w:sz w:val="28"/>
          <w:szCs w:val="28"/>
        </w:rPr>
        <w:t>（二）竞赛规则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1</w:t>
      </w:r>
      <w:r>
        <w:rPr>
          <w:rFonts w:ascii="Times New Roman" w:hAnsi="Times New Roman" w:eastAsia="仿宋_GB2312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参赛学生须持本人身份证与参赛证参加比赛。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2</w:t>
      </w:r>
      <w:r>
        <w:rPr>
          <w:rFonts w:ascii="Times New Roman" w:hAnsi="Times New Roman" w:eastAsia="仿宋_GB2312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参赛选手出场顺序、位置、竞赛所用材料、工具由抽签决定，不得擅自变更、调整。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3</w:t>
      </w:r>
      <w:r>
        <w:rPr>
          <w:rFonts w:ascii="Times New Roman" w:hAnsi="Times New Roman" w:eastAsia="仿宋_GB2312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参赛选手提前30分钟检录进入赛场，并按照指定位号参加竞赛。迟到15分钟者，取消竞赛资格；竞赛开始30分钟后，选手方可离开赛场。</w:t>
      </w:r>
    </w:p>
    <w:p>
      <w:pPr>
        <w:shd w:val="clear"/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4</w:t>
      </w:r>
      <w:r>
        <w:rPr>
          <w:rFonts w:ascii="Times New Roman" w:hAnsi="Times New Roman" w:eastAsia="仿宋_GB2312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选手在竞赛过程中不得擅自离开赛场，如有特殊情况，需经评委（裁判）同意。选手若需休息、饮水或去洗手间等，耗用时间计算在比赛时间内。</w:t>
      </w:r>
    </w:p>
    <w:p>
      <w:pPr>
        <w:shd w:val="clear"/>
        <w:snapToGrid w:val="0"/>
        <w:spacing w:line="560" w:lineRule="exact"/>
        <w:ind w:firstLine="560" w:firstLineChars="200"/>
        <w:rPr>
          <w:rFonts w:hint="eastAsia"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5</w:t>
      </w:r>
      <w:r>
        <w:rPr>
          <w:rFonts w:ascii="Times New Roman" w:hAnsi="Times New Roman" w:eastAsia="仿宋_GB2312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竞赛时间结束，参赛选手应立即停止操作，不得以任何理由拖延竞赛时间。选手操作完成后，在《实际操作现场记录表》上签名确认，方可离开赛场。</w:t>
      </w:r>
    </w:p>
    <w:p>
      <w:pPr>
        <w:shd w:val="clear"/>
        <w:snapToGrid w:val="0"/>
        <w:spacing w:line="560" w:lineRule="exact"/>
        <w:ind w:firstLine="560" w:firstLineChars="200"/>
        <w:rPr>
          <w:rFonts w:hint="eastAsia" w:ascii="Times New Roman" w:hAnsi="Times New Roman" w:eastAsia="仿宋_GB2312"/>
          <w:color w:val="000000"/>
          <w:sz w:val="28"/>
          <w:szCs w:val="28"/>
        </w:rPr>
      </w:pPr>
    </w:p>
    <w:p>
      <w:pPr>
        <w:shd w:val="clear"/>
        <w:snapToGrid w:val="0"/>
        <w:spacing w:line="560" w:lineRule="exact"/>
        <w:ind w:firstLine="560" w:firstLineChars="200"/>
        <w:rPr>
          <w:rFonts w:hint="eastAsia" w:ascii="Times New Roman" w:hAnsi="Times New Roman" w:eastAsia="仿宋_GB2312"/>
          <w:color w:val="000000"/>
          <w:sz w:val="28"/>
          <w:szCs w:val="28"/>
        </w:rPr>
      </w:pPr>
    </w:p>
    <w:p>
      <w:pPr>
        <w:shd w:val="clear"/>
        <w:snapToGrid w:val="0"/>
        <w:spacing w:line="560" w:lineRule="exact"/>
        <w:ind w:firstLine="560" w:firstLineChars="200"/>
        <w:rPr>
          <w:rFonts w:hint="eastAsia" w:ascii="Times New Roman" w:hAnsi="Times New Roman" w:eastAsia="仿宋_GB2312"/>
          <w:color w:val="000000"/>
          <w:sz w:val="28"/>
          <w:szCs w:val="28"/>
        </w:rPr>
      </w:pPr>
    </w:p>
    <w:p>
      <w:pPr>
        <w:shd w:val="clear"/>
        <w:snapToGrid w:val="0"/>
        <w:spacing w:line="560" w:lineRule="exact"/>
        <w:ind w:firstLine="560" w:firstLineChars="200"/>
        <w:rPr>
          <w:rFonts w:hint="eastAsia" w:ascii="Times New Roman" w:hAnsi="Times New Roman" w:eastAsia="仿宋_GB2312"/>
          <w:color w:val="000000"/>
          <w:sz w:val="28"/>
          <w:szCs w:val="28"/>
        </w:rPr>
      </w:pPr>
    </w:p>
    <w:p>
      <w:pPr>
        <w:shd w:val="clear"/>
        <w:snapToGrid w:val="0"/>
        <w:spacing w:line="560" w:lineRule="exact"/>
        <w:ind w:firstLine="560" w:firstLineChars="200"/>
        <w:rPr>
          <w:rFonts w:hint="eastAsia" w:ascii="Times New Roman" w:hAnsi="Times New Roman" w:eastAsia="仿宋_GB2312"/>
          <w:color w:val="000000"/>
          <w:sz w:val="28"/>
          <w:szCs w:val="28"/>
        </w:rPr>
      </w:pPr>
    </w:p>
    <w:p>
      <w:pPr>
        <w:shd w:val="clear"/>
        <w:snapToGrid w:val="0"/>
        <w:spacing w:line="560" w:lineRule="exact"/>
        <w:ind w:firstLine="562" w:firstLineChars="200"/>
        <w:rPr>
          <w:rFonts w:ascii="Times New Roman" w:hAnsi="Times New Roman" w:eastAsia="仿宋_GB2312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bCs/>
          <w:color w:val="000000"/>
          <w:sz w:val="28"/>
          <w:szCs w:val="28"/>
        </w:rPr>
        <w:t>五、竞赛时间安排与流程</w:t>
      </w:r>
    </w:p>
    <w:p>
      <w:pPr>
        <w:shd w:val="clear"/>
        <w:snapToGrid w:val="0"/>
        <w:spacing w:line="560" w:lineRule="exact"/>
        <w:ind w:firstLine="482" w:firstLineChars="200"/>
        <w:jc w:val="center"/>
        <w:rPr>
          <w:rFonts w:ascii="仿宋_GB2312" w:hAnsi="仿宋" w:eastAsia="仿宋_GB2312"/>
          <w:b/>
          <w:color w:val="000000"/>
          <w:sz w:val="24"/>
          <w:szCs w:val="24"/>
        </w:rPr>
      </w:pPr>
      <w:r>
        <w:rPr>
          <w:rFonts w:hint="eastAsia" w:ascii="仿宋_GB2312" w:hAnsi="仿宋" w:eastAsia="仿宋_GB2312"/>
          <w:b/>
          <w:color w:val="000000"/>
          <w:sz w:val="24"/>
          <w:szCs w:val="24"/>
        </w:rPr>
        <w:t>表1竞赛时间安排及流程</w:t>
      </w:r>
    </w:p>
    <w:tbl>
      <w:tblPr>
        <w:tblStyle w:val="3"/>
        <w:tblpPr w:leftFromText="180" w:rightFromText="180" w:vertAnchor="text" w:horzAnchor="margin" w:tblpY="172"/>
        <w:tblOverlap w:val="never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235"/>
        <w:gridCol w:w="4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01" w:type="dxa"/>
            <w:vMerge w:val="restart"/>
          </w:tcPr>
          <w:p>
            <w:pPr>
              <w:shd w:val="clear"/>
              <w:jc w:val="center"/>
            </w:pPr>
            <w:r>
              <w:rPr>
                <w:rFonts w:hint="eastAsia"/>
              </w:rPr>
              <w:t>第一天</w:t>
            </w:r>
          </w:p>
        </w:tc>
        <w:tc>
          <w:tcPr>
            <w:tcW w:w="2235" w:type="dxa"/>
          </w:tcPr>
          <w:p>
            <w:pPr>
              <w:shd w:val="clear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14:00—15:00</w:t>
            </w:r>
          </w:p>
        </w:tc>
        <w:tc>
          <w:tcPr>
            <w:tcW w:w="4677" w:type="dxa"/>
          </w:tcPr>
          <w:p>
            <w:pPr>
              <w:shd w:val="clear"/>
              <w:ind w:firstLine="420" w:firstLineChars="200"/>
              <w:jc w:val="left"/>
            </w:pPr>
            <w:r>
              <w:rPr>
                <w:rFonts w:hint="eastAsia"/>
              </w:rPr>
              <w:t>参赛选手理论考试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1" w:type="dxa"/>
            <w:vMerge w:val="continue"/>
          </w:tcPr>
          <w:p>
            <w:pPr>
              <w:shd w:val="clear"/>
              <w:ind w:firstLine="420" w:firstLineChars="200"/>
              <w:jc w:val="center"/>
            </w:pPr>
          </w:p>
        </w:tc>
        <w:tc>
          <w:tcPr>
            <w:tcW w:w="2235" w:type="dxa"/>
          </w:tcPr>
          <w:p>
            <w:pPr>
              <w:shd w:val="clear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15:30—16:00</w:t>
            </w:r>
          </w:p>
        </w:tc>
        <w:tc>
          <w:tcPr>
            <w:tcW w:w="4677" w:type="dxa"/>
          </w:tcPr>
          <w:p>
            <w:pPr>
              <w:shd w:val="clear"/>
              <w:ind w:firstLine="420" w:firstLineChars="200"/>
              <w:jc w:val="left"/>
            </w:pPr>
            <w:r>
              <w:rPr>
                <w:rFonts w:hint="eastAsia"/>
              </w:rPr>
              <w:t>参赛选手抽签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1" w:type="dxa"/>
            <w:vMerge w:val="restart"/>
          </w:tcPr>
          <w:p>
            <w:pPr>
              <w:shd w:val="clear"/>
              <w:jc w:val="center"/>
            </w:pPr>
            <w:r>
              <w:rPr>
                <w:rFonts w:hint="eastAsia"/>
              </w:rPr>
              <w:t>第二天</w:t>
            </w:r>
          </w:p>
        </w:tc>
        <w:tc>
          <w:tcPr>
            <w:tcW w:w="2235" w:type="dxa"/>
          </w:tcPr>
          <w:p>
            <w:pPr>
              <w:shd w:val="clear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8:00—8:30</w:t>
            </w:r>
          </w:p>
        </w:tc>
        <w:tc>
          <w:tcPr>
            <w:tcW w:w="4677" w:type="dxa"/>
          </w:tcPr>
          <w:p>
            <w:pPr>
              <w:shd w:val="clear"/>
              <w:ind w:firstLine="420" w:firstLineChars="200"/>
              <w:jc w:val="left"/>
            </w:pPr>
            <w:r>
              <w:rPr>
                <w:rFonts w:hint="eastAsia"/>
              </w:rPr>
              <w:t>参赛选手技能裁判组成员进入技能赛场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1" w:type="dxa"/>
            <w:vMerge w:val="continue"/>
          </w:tcPr>
          <w:p>
            <w:pPr>
              <w:shd w:val="clear"/>
              <w:ind w:firstLine="420" w:firstLineChars="200"/>
              <w:jc w:val="center"/>
            </w:pPr>
          </w:p>
        </w:tc>
        <w:tc>
          <w:tcPr>
            <w:tcW w:w="2235" w:type="dxa"/>
          </w:tcPr>
          <w:p>
            <w:pPr>
              <w:shd w:val="clear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8:30—9:30</w:t>
            </w:r>
          </w:p>
        </w:tc>
        <w:tc>
          <w:tcPr>
            <w:tcW w:w="4677" w:type="dxa"/>
          </w:tcPr>
          <w:p>
            <w:pPr>
              <w:shd w:val="clear"/>
              <w:ind w:firstLine="420" w:firstLineChars="200"/>
              <w:jc w:val="left"/>
            </w:pPr>
            <w:r>
              <w:rPr>
                <w:rFonts w:hint="eastAsia"/>
              </w:rPr>
              <w:t>选手操作技能项目（一）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1" w:type="dxa"/>
            <w:vMerge w:val="continue"/>
          </w:tcPr>
          <w:p>
            <w:pPr>
              <w:shd w:val="clear"/>
              <w:ind w:firstLine="420" w:firstLineChars="200"/>
              <w:jc w:val="center"/>
            </w:pPr>
          </w:p>
        </w:tc>
        <w:tc>
          <w:tcPr>
            <w:tcW w:w="2235" w:type="dxa"/>
          </w:tcPr>
          <w:p>
            <w:pPr>
              <w:shd w:val="clear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hint="eastAsia" w:ascii="Times New Roman" w:hAnsi="Times New Roman"/>
              </w:rPr>
              <w:t>50—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hint="eastAsia" w:ascii="Times New Roman" w:hAnsi="Times New Roman"/>
              </w:rPr>
              <w:t>:50</w:t>
            </w:r>
          </w:p>
        </w:tc>
        <w:tc>
          <w:tcPr>
            <w:tcW w:w="4677" w:type="dxa"/>
          </w:tcPr>
          <w:p>
            <w:pPr>
              <w:shd w:val="clear"/>
              <w:ind w:firstLine="420" w:firstLineChars="200"/>
              <w:jc w:val="left"/>
            </w:pPr>
            <w:r>
              <w:rPr>
                <w:rFonts w:hint="eastAsia"/>
              </w:rPr>
              <w:t>选手操作技能项目（二）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1" w:type="dxa"/>
            <w:vMerge w:val="continue"/>
          </w:tcPr>
          <w:p>
            <w:pPr>
              <w:shd w:val="clear"/>
              <w:ind w:firstLine="420" w:firstLineChars="200"/>
              <w:jc w:val="center"/>
            </w:pPr>
          </w:p>
        </w:tc>
        <w:tc>
          <w:tcPr>
            <w:tcW w:w="2235" w:type="dxa"/>
          </w:tcPr>
          <w:p>
            <w:pPr>
              <w:shd w:val="clear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11:10—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2:1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677" w:type="dxa"/>
          </w:tcPr>
          <w:p>
            <w:pPr>
              <w:shd w:val="clear"/>
              <w:ind w:firstLine="420" w:firstLineChars="200"/>
              <w:jc w:val="left"/>
            </w:pPr>
            <w:r>
              <w:rPr>
                <w:rFonts w:hint="eastAsia"/>
              </w:rPr>
              <w:t>选手操作技能项目（三）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1" w:type="dxa"/>
            <w:vMerge w:val="continue"/>
          </w:tcPr>
          <w:p>
            <w:pPr>
              <w:shd w:val="clear"/>
              <w:ind w:firstLine="420" w:firstLineChars="200"/>
              <w:jc w:val="center"/>
            </w:pPr>
          </w:p>
        </w:tc>
        <w:tc>
          <w:tcPr>
            <w:tcW w:w="2235" w:type="dxa"/>
          </w:tcPr>
          <w:p>
            <w:pPr>
              <w:shd w:val="clear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12:</w:t>
            </w:r>
            <w:r>
              <w:rPr>
                <w:rFonts w:hint="eastAsia"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0—12:</w:t>
            </w:r>
            <w:r>
              <w:rPr>
                <w:rFonts w:hint="eastAsia"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677" w:type="dxa"/>
          </w:tcPr>
          <w:p>
            <w:pPr>
              <w:shd w:val="clear"/>
              <w:ind w:firstLine="420" w:firstLineChars="200"/>
              <w:jc w:val="left"/>
            </w:pPr>
            <w:r>
              <w:rPr>
                <w:rFonts w:hint="eastAsia"/>
              </w:rPr>
              <w:t>裁判评分汇总</w:t>
            </w:r>
          </w:p>
        </w:tc>
      </w:tr>
    </w:tbl>
    <w:p>
      <w:pPr>
        <w:shd w:val="clear"/>
        <w:snapToGrid w:val="0"/>
        <w:spacing w:line="560" w:lineRule="exact"/>
        <w:rPr>
          <w:rFonts w:ascii="Times New Roman" w:hAnsi="Times New Roman" w:eastAsia="仿宋_GB2312"/>
          <w:b/>
          <w:color w:val="000000"/>
          <w:sz w:val="28"/>
          <w:szCs w:val="28"/>
        </w:rPr>
      </w:pPr>
    </w:p>
    <w:p>
      <w:pPr>
        <w:shd w:val="clear"/>
        <w:snapToGrid w:val="0"/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六、技术规范</w:t>
      </w:r>
    </w:p>
    <w:p>
      <w:pPr>
        <w:shd w:val="clear"/>
        <w:snapToGrid w:val="0"/>
        <w:spacing w:line="560" w:lineRule="exact"/>
        <w:ind w:firstLine="560" w:firstLineChars="200"/>
        <w:rPr>
          <w:rFonts w:hint="default" w:ascii="Times New Roman" w:hAnsi="Times New Roman" w:eastAsia="仿宋_GB2312"/>
          <w:bCs/>
          <w:color w:val="000000"/>
          <w:sz w:val="28"/>
          <w:szCs w:val="28"/>
        </w:rPr>
      </w:pPr>
      <w:r>
        <w:rPr>
          <w:rFonts w:hint="default" w:ascii="Times New Roman" w:hAnsi="Times New Roman" w:eastAsia="仿宋_GB2312"/>
          <w:bCs/>
          <w:color w:val="000000"/>
          <w:sz w:val="28"/>
          <w:szCs w:val="28"/>
        </w:rPr>
        <w:t>应按照GB/T 20569《稻谷储存品质判定规则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/>
          <w:bCs/>
          <w:color w:val="000000"/>
          <w:sz w:val="28"/>
          <w:szCs w:val="28"/>
        </w:rPr>
        <w:t>附录A</w:t>
      </w:r>
      <w:r>
        <w:rPr>
          <w:rFonts w:hint="eastAsia" w:ascii="Times New Roman" w:hAnsi="Times New Roman" w:eastAsia="仿宋_GB2312"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/>
          <w:bCs/>
          <w:color w:val="000000"/>
          <w:sz w:val="28"/>
          <w:szCs w:val="28"/>
        </w:rPr>
        <w:t>稻谷脂肪酸值测定方法》的规定，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620" w:lineRule="atLeast"/>
        <w:ind w:left="0" w:right="0" w:firstLine="0"/>
        <w:jc w:val="center"/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620" w:lineRule="atLeast"/>
        <w:ind w:left="0" w:right="0" w:firstLine="0"/>
        <w:jc w:val="center"/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项目一：试样称量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（一）、主要考核要求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比赛时间30分钟。其中，实验准备3分钟；大米、小麦粉、植物油3种样品的称量时间各5分钟；转换称量样品有1分钟准备时间；选手称量每种样品后，样品有效性复核时间10分钟。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2.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使用竞赛统一提供的样品以及仪器设备。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3.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大米：采用直接称量法，精确至0.01g。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小麦粉：采用指定质量称量法，精确至0.001g。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植物油：采用减量称量法，精确至0.01g。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4.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按规定的称量方法，采用合适的器皿和相应精度的天平，在规定时间内称取尽可能多的试样份数。称量偏差不符合要求的,不计入称量份数。称量偏差要求：大米±0.01g，小麦粉±0.005g，植物油±0.1g。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（二）、主要仪器设备</w:t>
      </w:r>
    </w:p>
    <w:tbl>
      <w:tblPr>
        <w:tblStyle w:val="3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440"/>
        <w:gridCol w:w="2880"/>
        <w:gridCol w:w="900"/>
        <w:gridCol w:w="234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28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规格</w:t>
            </w:r>
          </w:p>
        </w:tc>
        <w:tc>
          <w:tcPr>
            <w:tcW w:w="9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23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天平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感量为0.01g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1台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洁净、性能完好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天平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感量为0.001g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1台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洁净、性能完好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称量纸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10cm*10cm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40张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洁净、无破损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滤纸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Φ12.5cm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40张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洁净、无破损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塑料杯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50mL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25个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洁净、无破损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小烧杯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150mL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1个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洁净、无破损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培养皿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直径6cm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30个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洁净、无破损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玻璃棒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长度15cm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1根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洁净、无破损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样品勺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不锈钢，中号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2个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洁净、无破损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废物杯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500mL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1个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计算器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普通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1个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功能正常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细毛刷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1个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细纱手套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1副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45"/>
        <w:jc w:val="left"/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45"/>
        <w:jc w:val="left"/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45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（三）、样品</w:t>
      </w:r>
    </w:p>
    <w:tbl>
      <w:tblPr>
        <w:tblStyle w:val="3"/>
        <w:tblW w:w="4953" w:type="pct"/>
        <w:tblInd w:w="39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1592"/>
        <w:gridCol w:w="2610"/>
        <w:gridCol w:w="986"/>
        <w:gridCol w:w="236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943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大米/糙米</w:t>
            </w:r>
          </w:p>
        </w:tc>
        <w:tc>
          <w:tcPr>
            <w:tcW w:w="1546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84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各1瓶</w:t>
            </w:r>
          </w:p>
        </w:tc>
        <w:tc>
          <w:tcPr>
            <w:tcW w:w="1398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选手自行选择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小麦粉</w:t>
            </w:r>
          </w:p>
        </w:tc>
        <w:tc>
          <w:tcPr>
            <w:tcW w:w="1546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1瓶</w:t>
            </w:r>
          </w:p>
        </w:tc>
        <w:tc>
          <w:tcPr>
            <w:tcW w:w="139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水分13.5%左右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6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植物油</w:t>
            </w:r>
          </w:p>
        </w:tc>
        <w:tc>
          <w:tcPr>
            <w:tcW w:w="1546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1瓶</w:t>
            </w:r>
          </w:p>
        </w:tc>
        <w:tc>
          <w:tcPr>
            <w:tcW w:w="139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一级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45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（四）、分值分配及评分要点</w:t>
      </w:r>
    </w:p>
    <w:tbl>
      <w:tblPr>
        <w:tblStyle w:val="3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4"/>
        <w:gridCol w:w="2582"/>
        <w:gridCol w:w="714"/>
        <w:gridCol w:w="377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比赛内容</w:t>
            </w:r>
          </w:p>
        </w:tc>
        <w:tc>
          <w:tcPr>
            <w:tcW w:w="26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评分要点</w:t>
            </w:r>
          </w:p>
        </w:tc>
        <w:tc>
          <w:tcPr>
            <w:tcW w:w="7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配分</w:t>
            </w:r>
          </w:p>
        </w:tc>
        <w:tc>
          <w:tcPr>
            <w:tcW w:w="38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操作准备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实验仪器用具检查与清点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天平准备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称量操作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选择合适的试样承接物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试样准备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大米称量份数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未按照指定方法称量的，不计样品称取份数;称量偏差大于±0.01g时,不计入称量份数；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称得样品叠放或用一个试样承接物重复称量的，不计入称量份数；每称取1份样品，0.8分；得分无上限。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小麦粉称量份数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未按照指定方法称量的，不计样品称取份数;称样量偏差大于±0.005g时,不计入称量份数；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称得样品叠放或用一个试样承接物重复称量的，不计入称量份数；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每称取1份样品，1.5分；得分无上限。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植物油称量份数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未按照指定方法称量的，不计样品称取份数;称样量偏差大于±0.1g,或计算不正确，不计入称量份数；称得样品叠放或用一个试样承接物重复装称得试样的，不计入称量份数；称量数据记录不全，不计入称量份数；每称取1份样品，2.5分；得分无上限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多余样品处理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称量过程多余试样妥善处理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称量记录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样品信息、原始数据等信息正确；有效数字、数据处理、数据修改方式正确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文明操作</w:t>
            </w:r>
          </w:p>
        </w:tc>
        <w:tc>
          <w:tcPr>
            <w:tcW w:w="26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无严重洒漏现象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不影响正常称量操作，不污染天平。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0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总分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100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其他</w:t>
            </w:r>
          </w:p>
        </w:tc>
        <w:tc>
          <w:tcPr>
            <w:tcW w:w="718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每损坏1件玻璃仪器从总分中扣10分，但总得分≥0分；损坏3件以上（不包括3件）玻璃仪器，本题计为0分。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（五）、严重违规处理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比赛时选手若出现损坏天平、发生事故、伪造原始记录数据等任一情况，此项目成绩均计为0分。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40" w:lineRule="atLeast"/>
        <w:ind w:left="0" w:right="0" w:firstLine="0"/>
        <w:jc w:val="center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项目二：稻谷脂肪酸值的测定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（一）、主要考核要求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比赛时间30分钟。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2.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本项目做双实验，选手根据比赛内容，合理计划并安排实验。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3.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检查所需仪器设备是否齐备、完好。使用竞赛统一提供的试剂以及仪器设备，完成样品脂肪酸值测定全过程。未提供的溶液，比赛过程中由选手临用现配。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4.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在记录表上如实填写原始记录并进行数据处理。要求记录规范，计算正确，结果表达准确。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5.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实验完毕后，仪器设备归位，所用玻璃仪器放指定位置。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6.</w:t>
      </w: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提前完成者，给予适当加分。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（二）、主要仪器设备</w:t>
      </w:r>
    </w:p>
    <w:tbl>
      <w:tblPr>
        <w:tblStyle w:val="3"/>
        <w:tblW w:w="0" w:type="auto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2"/>
        <w:gridCol w:w="1995"/>
        <w:gridCol w:w="2625"/>
        <w:gridCol w:w="937"/>
        <w:gridCol w:w="220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0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27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规格</w:t>
            </w:r>
          </w:p>
        </w:tc>
        <w:tc>
          <w:tcPr>
            <w:tcW w:w="9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22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具塞锥形瓶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250mL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单标线移液管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50.0mL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1支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单标线移液管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25.0mL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2支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刻度吸管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25.0mL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2支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酸式微量滴定管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5mL，最小分度为0.02mL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1支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碱式微量滴定管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5mL，最小分度为0.02mL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1支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天平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感量为0.01g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1台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振荡器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往返式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1台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振荡频率可调为100次/min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玻璃短颈漏斗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10cm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表面皿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直径12cm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中速定性滤纸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直径12.5cm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6张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锥形瓶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150mL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量筒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25mL，50mL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各1只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比色管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25mL，50mL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各2只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洁净、干燥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称量纸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5张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漏斗架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样品勺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不锈钢，中号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洁净、完好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铁架台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蝴蝶夹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完好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白纸（A4）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2张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21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移液管架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22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计算器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（三）、样品及试剂</w:t>
      </w:r>
    </w:p>
    <w:tbl>
      <w:tblPr>
        <w:tblStyle w:val="3"/>
        <w:tblW w:w="4831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9"/>
        <w:gridCol w:w="1858"/>
        <w:gridCol w:w="2469"/>
        <w:gridCol w:w="1019"/>
        <w:gridCol w:w="2123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134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1505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规格</w:t>
            </w:r>
          </w:p>
        </w:tc>
        <w:tc>
          <w:tcPr>
            <w:tcW w:w="599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295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糙米粉碎样品</w:t>
            </w:r>
          </w:p>
        </w:tc>
        <w:tc>
          <w:tcPr>
            <w:tcW w:w="150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过40目</w:t>
            </w:r>
          </w:p>
        </w:tc>
        <w:tc>
          <w:tcPr>
            <w:tcW w:w="59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100g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无水乙醇</w:t>
            </w:r>
          </w:p>
        </w:tc>
        <w:tc>
          <w:tcPr>
            <w:tcW w:w="150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AR</w:t>
            </w:r>
          </w:p>
        </w:tc>
        <w:tc>
          <w:tcPr>
            <w:tcW w:w="59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1瓶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95%乙醇</w:t>
            </w:r>
          </w:p>
        </w:tc>
        <w:tc>
          <w:tcPr>
            <w:tcW w:w="150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AR</w:t>
            </w:r>
          </w:p>
        </w:tc>
        <w:tc>
          <w:tcPr>
            <w:tcW w:w="59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1瓶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无CO2蒸馏水</w:t>
            </w:r>
          </w:p>
        </w:tc>
        <w:tc>
          <w:tcPr>
            <w:tcW w:w="150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1瓶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氢氧化钾标准滴定溶液</w:t>
            </w:r>
          </w:p>
        </w:tc>
        <w:tc>
          <w:tcPr>
            <w:tcW w:w="150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0.01mol/L-95%乙醇</w:t>
            </w:r>
          </w:p>
        </w:tc>
        <w:tc>
          <w:tcPr>
            <w:tcW w:w="59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100mL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酚酞-乙醇指示剂</w:t>
            </w:r>
          </w:p>
        </w:tc>
        <w:tc>
          <w:tcPr>
            <w:tcW w:w="150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10g/L</w:t>
            </w:r>
          </w:p>
        </w:tc>
        <w:tc>
          <w:tcPr>
            <w:tcW w:w="59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50mL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45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（四）、分值分配及评分要点</w:t>
      </w:r>
    </w:p>
    <w:tbl>
      <w:tblPr>
        <w:tblStyle w:val="3"/>
        <w:tblW w:w="0" w:type="auto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3186"/>
        <w:gridCol w:w="15"/>
        <w:gridCol w:w="949"/>
        <w:gridCol w:w="229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</w:tblPrEx>
        <w:trPr>
          <w:trHeight w:val="450" w:hRule="atLeast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比赛内容</w:t>
            </w:r>
          </w:p>
        </w:tc>
        <w:tc>
          <w:tcPr>
            <w:tcW w:w="225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评分要点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配分</w:t>
            </w:r>
          </w:p>
        </w:tc>
        <w:tc>
          <w:tcPr>
            <w:tcW w:w="24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称量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用具、试剂清点与检查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天平水平检查调整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称量操作规范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采用称量纸、角勺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提取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振荡、提取操作规范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过滤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过滤操作规范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滤液收集量若小于25mL，此项不得分。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移液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移液器具选择正确、润洗、移液操作正确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①采用刻度吸量管移液本项扣5分；②单项操作错误不累计扣分；③合计扣分不超过15分。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滴定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滴定管操作准备规范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滴定管选择错误扣20分；单项操作错误不累计扣分。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滴定操作规范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40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空白试验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40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原始记录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及结果计算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原始记录规范、有效数字修约、结果计算正确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测定结果准确性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测定结果与标准值符合程度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无计算过程（代入数据），此项扣5分。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文明操作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台面整洁、无洒漏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7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总分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100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 w:firstLine="255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其他</w:t>
            </w:r>
          </w:p>
        </w:tc>
        <w:tc>
          <w:tcPr>
            <w:tcW w:w="6795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每提前1分钟加2分，最多加6分。出现下列情况不加分：①振荡时间不足10分钟；②移液管、滴定管未润洗；③滤液体积≤25mL；④未做空白试验；⑤实验结束后，未整理台面，未将用过的玻璃仪器放指定位置。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hd w:val="clear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6795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每损坏1件玻璃仪器从总分中扣10分，但总得分≥0分；损坏3件以上（不包括3件）玻璃仪器，本题计为0分。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225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（五）、严重违规处理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  <w:t>比赛时选手若出现损坏天平、振荡器，发生事故，伪造原始记录数据等任一情况，此项目成绩均计为0分。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right="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snapToGrid w:val="0"/>
        <w:spacing w:beforeLines="200" w:line="480" w:lineRule="auto"/>
        <w:ind w:firstLine="560" w:firstLineChars="200"/>
        <w:jc w:val="center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记录表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16"/>
        <w:gridCol w:w="753"/>
        <w:gridCol w:w="265"/>
        <w:gridCol w:w="147"/>
        <w:gridCol w:w="924"/>
        <w:gridCol w:w="126"/>
        <w:gridCol w:w="115"/>
        <w:gridCol w:w="511"/>
        <w:gridCol w:w="569"/>
        <w:gridCol w:w="85"/>
        <w:gridCol w:w="649"/>
        <w:gridCol w:w="461"/>
        <w:gridCol w:w="55"/>
        <w:gridCol w:w="190"/>
        <w:gridCol w:w="951"/>
        <w:gridCol w:w="2"/>
        <w:gridCol w:w="22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527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工位编号</w:t>
            </w:r>
          </w:p>
        </w:tc>
        <w:tc>
          <w:tcPr>
            <w:tcW w:w="6995" w:type="dxa"/>
            <w:gridSpan w:val="17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27" w:type="dxa"/>
            <w:gridSpan w:val="2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检验目的</w:t>
            </w:r>
          </w:p>
        </w:tc>
        <w:tc>
          <w:tcPr>
            <w:tcW w:w="753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环境条件</w:t>
            </w:r>
          </w:p>
        </w:tc>
        <w:tc>
          <w:tcPr>
            <w:tcW w:w="1336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hint="eastAsia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温度：</w:t>
            </w:r>
          </w:p>
        </w:tc>
        <w:tc>
          <w:tcPr>
            <w:tcW w:w="752" w:type="dxa"/>
            <w:gridSpan w:val="3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检测地点</w:t>
            </w:r>
          </w:p>
        </w:tc>
        <w:tc>
          <w:tcPr>
            <w:tcW w:w="1303" w:type="dxa"/>
            <w:gridSpan w:val="3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使用仪器</w:t>
            </w: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194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27" w:type="dxa"/>
            <w:gridSpan w:val="2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</w:pPr>
          </w:p>
        </w:tc>
        <w:tc>
          <w:tcPr>
            <w:tcW w:w="753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hint="eastAsia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湿度：</w:t>
            </w:r>
          </w:p>
        </w:tc>
        <w:tc>
          <w:tcPr>
            <w:tcW w:w="752" w:type="dxa"/>
            <w:gridSpan w:val="3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编号</w:t>
            </w:r>
          </w:p>
        </w:tc>
        <w:tc>
          <w:tcPr>
            <w:tcW w:w="1194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7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样品编号</w:t>
            </w:r>
          </w:p>
        </w:tc>
        <w:tc>
          <w:tcPr>
            <w:tcW w:w="2215" w:type="dxa"/>
            <w:gridSpan w:val="5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gridSpan w:val="6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gridSpan w:val="6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7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品种</w:t>
            </w:r>
          </w:p>
        </w:tc>
        <w:tc>
          <w:tcPr>
            <w:tcW w:w="2215" w:type="dxa"/>
            <w:gridSpan w:val="5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90" w:type="dxa"/>
            <w:gridSpan w:val="6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90" w:type="dxa"/>
            <w:gridSpan w:val="6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527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检测方法</w:t>
            </w:r>
          </w:p>
        </w:tc>
        <w:tc>
          <w:tcPr>
            <w:tcW w:w="6995" w:type="dxa"/>
            <w:gridSpan w:val="17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527" w:type="dxa"/>
            <w:gridSpan w:val="2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试样质量（g）或被滴定液体体积（ml）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527" w:type="dxa"/>
            <w:gridSpan w:val="2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</w:pP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</w:pP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</w:pP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</w:pP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527" w:type="dxa"/>
            <w:gridSpan w:val="2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11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消耗滴液体积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1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mol/L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1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滴前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1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滴后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1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实耗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4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27" w:type="dxa"/>
            <w:gridSpan w:val="2"/>
            <w:vMerge w:val="restart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检测结果</w:t>
            </w:r>
          </w:p>
        </w:tc>
        <w:tc>
          <w:tcPr>
            <w:tcW w:w="6995" w:type="dxa"/>
            <w:gridSpan w:val="17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27" w:type="dxa"/>
            <w:gridSpan w:val="2"/>
            <w:vMerge w:val="continue"/>
            <w:shd w:val="clear" w:color="auto" w:fill="auto"/>
            <w:vAlign w:val="center"/>
          </w:tcPr>
          <w:p>
            <w:pPr>
              <w:snapToGrid w:val="0"/>
              <w:spacing w:line="560" w:lineRule="exact"/>
            </w:pPr>
          </w:p>
        </w:tc>
        <w:tc>
          <w:tcPr>
            <w:tcW w:w="6995" w:type="dxa"/>
            <w:gridSpan w:val="17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527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重复性要求</w:t>
            </w:r>
          </w:p>
        </w:tc>
        <w:tc>
          <w:tcPr>
            <w:tcW w:w="6995" w:type="dxa"/>
            <w:gridSpan w:val="17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527" w:type="dxa"/>
            <w:gridSpan w:val="2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检测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者</w:t>
            </w:r>
          </w:p>
        </w:tc>
        <w:tc>
          <w:tcPr>
            <w:tcW w:w="6995" w:type="dxa"/>
            <w:gridSpan w:val="17"/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填写选手抽签号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522" w:type="dxa"/>
            <w:gridSpan w:val="19"/>
            <w:shd w:val="clear" w:color="auto" w:fill="auto"/>
            <w:vAlign w:val="center"/>
          </w:tcPr>
          <w:p>
            <w:pPr>
              <w:snapToGrid w:val="0"/>
              <w:spacing w:line="560" w:lineRule="exact"/>
              <w:jc w:val="righ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月    日     时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55" w:lineRule="atLeast"/>
        <w:ind w:left="0" w:right="0" w:firstLine="660"/>
        <w:jc w:val="left"/>
        <w:rPr>
          <w:rFonts w:hint="default" w:ascii="Times New Roman" w:hAnsi="Times New Roman" w:eastAsia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snapToGrid w:val="0"/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  <w:lang w:val="en-US" w:eastAsia="zh-CN"/>
        </w:rPr>
        <w:t>七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、评分方法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成绩评定按照公平、公正、客观的原则进行。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（一）评分方法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竞赛现场裁判对选手技能操作根据评分标准认真评分，并签名确认；赛项裁判长对所有裁判员的打分成绩进行审核，并签名。结果评定采用百分制，理论成绩占30%，技能操作成绩占70%，计算总成绩。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（二）成绩审核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为保障成绩评判的准确性，监督组将对赛项总成绩排名前</w:t>
      </w:r>
      <w:r>
        <w:rPr>
          <w:rFonts w:ascii="Times New Roman" w:hAnsi="Times New Roman" w:eastAsia="仿宋_GB2312"/>
          <w:color w:val="000000"/>
          <w:sz w:val="28"/>
          <w:szCs w:val="28"/>
        </w:rPr>
        <w:t>30%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的所有参赛队伍（选手）的成绩进行复核；对其余成绩进行抽检复核，抽检覆盖率不得低于</w:t>
      </w:r>
      <w:r>
        <w:rPr>
          <w:rFonts w:ascii="Times New Roman" w:hAnsi="Times New Roman" w:eastAsia="仿宋_GB2312"/>
          <w:color w:val="000000"/>
          <w:sz w:val="28"/>
          <w:szCs w:val="28"/>
        </w:rPr>
        <w:t>15%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。如发现成绩错误以书面方式及时告知裁判长，由裁判长更正成绩并签字确认。复核、抽检错误率超过</w:t>
      </w:r>
      <w:r>
        <w:rPr>
          <w:rFonts w:ascii="Times New Roman" w:hAnsi="Times New Roman" w:eastAsia="仿宋_GB2312"/>
          <w:color w:val="000000"/>
          <w:sz w:val="28"/>
          <w:szCs w:val="28"/>
        </w:rPr>
        <w:t>5%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的，裁判组将对所有成绩进行复核。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（三）成绩公布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记分员将各参赛队成绩汇总成最终成绩单，经裁判长、监督组签字后，在指定地点、以纸质形式进行公示。成绩公示无异议后，由仲裁长、监督组长在成绩单上签字。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  <w:lang w:val="en-US" w:eastAsia="zh-CN"/>
        </w:rPr>
        <w:t>八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、奖项设定</w:t>
      </w:r>
    </w:p>
    <w:p>
      <w:pPr>
        <w:pStyle w:val="6"/>
        <w:tabs>
          <w:tab w:val="left" w:pos="851"/>
        </w:tabs>
        <w:adjustRightInd w:val="0"/>
        <w:snapToGrid w:val="0"/>
        <w:spacing w:beforeLines="0" w:afterLines="0" w:line="560" w:lineRule="exact"/>
        <w:ind w:firstLine="560"/>
        <w:rPr>
          <w:color w:val="000000"/>
          <w:kern w:val="2"/>
          <w:szCs w:val="28"/>
        </w:rPr>
      </w:pPr>
      <w:r>
        <w:rPr>
          <w:rFonts w:hint="eastAsia"/>
          <w:color w:val="000000"/>
          <w:kern w:val="2"/>
          <w:szCs w:val="28"/>
        </w:rPr>
        <w:t>本赛项设一、二、三等奖。以赛项实际参赛队总数为基数，一、二、三等奖获奖比例分别为</w:t>
      </w:r>
      <w:r>
        <w:rPr>
          <w:color w:val="000000"/>
          <w:kern w:val="2"/>
          <w:szCs w:val="28"/>
        </w:rPr>
        <w:t>10%</w:t>
      </w:r>
      <w:r>
        <w:rPr>
          <w:rFonts w:hint="eastAsia"/>
          <w:color w:val="000000"/>
          <w:kern w:val="2"/>
          <w:szCs w:val="28"/>
        </w:rPr>
        <w:t>、</w:t>
      </w:r>
      <w:r>
        <w:rPr>
          <w:color w:val="000000"/>
          <w:kern w:val="2"/>
          <w:szCs w:val="28"/>
        </w:rPr>
        <w:t>20%</w:t>
      </w:r>
      <w:r>
        <w:rPr>
          <w:rFonts w:hint="eastAsia"/>
          <w:color w:val="000000"/>
          <w:kern w:val="2"/>
          <w:szCs w:val="28"/>
        </w:rPr>
        <w:t>、</w:t>
      </w:r>
      <w:r>
        <w:rPr>
          <w:color w:val="000000"/>
          <w:kern w:val="2"/>
          <w:szCs w:val="28"/>
        </w:rPr>
        <w:t>30%</w:t>
      </w:r>
      <w:r>
        <w:rPr>
          <w:rFonts w:hint="eastAsia"/>
          <w:color w:val="000000"/>
          <w:kern w:val="2"/>
          <w:szCs w:val="28"/>
        </w:rPr>
        <w:t>（小数点后四舍五入）。获得奖项的参赛队，授予相应的荣誉证书。获得一等奖的参赛队指导教师由大赛组委会颁发优秀指导教师证书。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b/>
          <w:color w:val="000000"/>
          <w:sz w:val="28"/>
          <w:szCs w:val="28"/>
          <w:lang w:val="en-US" w:eastAsia="zh-CN"/>
        </w:rPr>
        <w:t>九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、申诉与仲裁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1.各参赛队对不符合赛项规程规定的仪器、设备、工装、材料、物件、计算机软硬件、竞赛使用工具、用品，竞赛执裁、赛场管理、竞赛成绩，以及工作人员的不规范行为等，可向赛项仲裁组提出申诉，申诉主体为参赛队领队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2.申诉启动时，参赛队向赛项仲裁组递交领队亲笔签字同意的书面报告。书面报告应对申诉事件的现象、发生时间、涉及人员、申诉依据等进行充分、实事求是的叙述。非书面申诉不予受理。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3.提出申诉的时间应在比赛结束后(选手赛场比赛内容全部完成)2小时内。超过时效不予受理。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4.赛项仲裁组在接到申诉报告后的 2小时内组织复议，并及时将复议结果以书面形式告知申诉方。申诉方对复议结果仍有异议，可由领队向比赛监督员提出申诉，由监督员传达最终仲裁结果。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5．申诉方不得以任何理由拒绝接收仲裁结果，不得以任何理由采取过激行为扰乱赛场秩序。仲裁结果由申诉人签收，不能代收，如在约定时间和地点申诉人离开，视为自行放弃申诉。</w:t>
      </w:r>
    </w:p>
    <w:p>
      <w:pPr>
        <w:snapToGrid w:val="0"/>
        <w:spacing w:line="56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6.申诉方可随时提出放弃申诉。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lZGI0MjkzMGJiYjVjZDA5YTc5YmI5M2M5ZTkzM2EifQ=="/>
  </w:docVars>
  <w:rsids>
    <w:rsidRoot w:val="00000000"/>
    <w:rsid w:val="07354648"/>
    <w:rsid w:val="10AD2EE8"/>
    <w:rsid w:val="1414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5-内文"/>
    <w:basedOn w:val="1"/>
    <w:qFormat/>
    <w:uiPriority w:val="99"/>
    <w:pPr>
      <w:spacing w:beforeLines="25" w:afterLines="25" w:line="300" w:lineRule="auto"/>
      <w:ind w:firstLine="200" w:firstLineChars="200"/>
    </w:pPr>
    <w:rPr>
      <w:rFonts w:ascii="Times New Roman" w:hAnsi="Times New Roman" w:eastAsia="仿宋_GB2312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2023-10-22T03:03:00Z</dcterms:created>
  <dc:creator>JT</dc:creator>
  <cp:lastModifiedBy>晨曦微露</cp:lastModifiedBy>
  <dcterms:modified xsi:type="dcterms:W3CDTF">2023-10-26T07:00:22Z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1288CD48FDF24112A8D58F34124DDD1B_12</vt:lpwstr>
  </property>
</Properties>
</file>