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44"/>
          <w:szCs w:val="44"/>
        </w:rPr>
      </w:pPr>
    </w:p>
    <w:p>
      <w:pPr>
        <w:autoSpaceDE/>
        <w:autoSpaceDN/>
        <w:spacing w:before="480" w:beforeLines="200" w:after="480" w:afterLines="200" w:line="480" w:lineRule="auto"/>
        <w:jc w:val="center"/>
        <w:rPr>
          <w:rFonts w:ascii="黑体" w:hAnsi="黑体" w:eastAsia="黑体" w:cs="黑体"/>
          <w:sz w:val="52"/>
          <w:szCs w:val="52"/>
          <w:lang w:val="en-US"/>
        </w:rPr>
      </w:pPr>
      <w:r>
        <w:rPr>
          <w:rFonts w:hint="eastAsia" w:ascii="黑体" w:hAnsi="黑体" w:eastAsia="黑体" w:cs="黑体"/>
          <w:sz w:val="52"/>
          <w:szCs w:val="52"/>
          <w:lang w:val="en-US"/>
        </w:rPr>
        <w:t>202</w:t>
      </w:r>
      <w:r>
        <w:rPr>
          <w:rFonts w:ascii="黑体" w:hAnsi="黑体" w:eastAsia="黑体" w:cs="黑体"/>
          <w:sz w:val="52"/>
          <w:szCs w:val="52"/>
          <w:lang w:val="en-US"/>
        </w:rPr>
        <w:t>4</w:t>
      </w:r>
      <w:r>
        <w:rPr>
          <w:rFonts w:hint="eastAsia" w:ascii="黑体" w:hAnsi="黑体" w:eastAsia="黑体" w:cs="黑体"/>
          <w:sz w:val="52"/>
          <w:szCs w:val="52"/>
          <w:lang w:val="en-US"/>
        </w:rPr>
        <w:t>年兰州市职业院校技能大赛</w:t>
      </w:r>
    </w:p>
    <w:p>
      <w:pPr>
        <w:autoSpaceDE/>
        <w:autoSpaceDN/>
        <w:spacing w:before="240" w:beforeLines="100" w:after="240" w:afterLines="100"/>
        <w:jc w:val="center"/>
        <w:rPr>
          <w:rFonts w:ascii="宋体" w:hAnsi="宋体" w:eastAsia="宋体" w:cs="宋体"/>
          <w:b/>
          <w:bCs/>
          <w:sz w:val="52"/>
          <w:szCs w:val="52"/>
          <w:lang w:val="en-US"/>
        </w:rPr>
      </w:pPr>
      <w:r>
        <w:rPr>
          <w:rFonts w:hint="eastAsia" w:ascii="宋体" w:hAnsi="宋体" w:eastAsia="宋体" w:cs="宋体"/>
          <w:b/>
          <w:bCs/>
          <w:sz w:val="52"/>
          <w:szCs w:val="52"/>
          <w:lang w:val="en-US"/>
        </w:rPr>
        <w:t>中职学生组土木工程无损检测赛项</w:t>
      </w:r>
    </w:p>
    <w:p>
      <w:pPr>
        <w:autoSpaceDE/>
        <w:autoSpaceDN/>
        <w:spacing w:before="240" w:beforeLines="100" w:after="240" w:afterLines="100"/>
        <w:jc w:val="center"/>
        <w:rPr>
          <w:rFonts w:ascii="宋体" w:hAnsi="宋体" w:eastAsia="宋体" w:cs="宋体"/>
          <w:b/>
          <w:bCs/>
          <w:sz w:val="52"/>
          <w:szCs w:val="52"/>
          <w:lang w:val="en-US"/>
        </w:rPr>
      </w:pPr>
    </w:p>
    <w:p>
      <w:pPr>
        <w:autoSpaceDE/>
        <w:autoSpaceDN/>
        <w:spacing w:before="240" w:beforeLines="100" w:after="240" w:afterLines="100"/>
        <w:jc w:val="center"/>
        <w:rPr>
          <w:rFonts w:ascii="宋体" w:hAnsi="宋体" w:eastAsia="宋体" w:cs="宋体"/>
          <w:b/>
          <w:bCs/>
          <w:sz w:val="52"/>
          <w:szCs w:val="52"/>
          <w:lang w:val="en-US"/>
        </w:rPr>
      </w:pPr>
      <w:r>
        <w:rPr>
          <w:rFonts w:hint="eastAsia" w:ascii="宋体" w:hAnsi="宋体" w:eastAsia="宋体" w:cs="宋体"/>
          <w:b/>
          <w:bCs/>
          <w:sz w:val="52"/>
          <w:szCs w:val="52"/>
          <w:lang w:val="en-US"/>
        </w:rPr>
        <w:t>竞</w:t>
      </w:r>
    </w:p>
    <w:p>
      <w:pPr>
        <w:autoSpaceDE/>
        <w:autoSpaceDN/>
        <w:spacing w:before="240" w:beforeLines="100" w:after="240" w:afterLines="100"/>
        <w:jc w:val="center"/>
        <w:rPr>
          <w:rFonts w:ascii="宋体" w:hAnsi="宋体" w:eastAsia="宋体" w:cs="宋体"/>
          <w:b/>
          <w:bCs/>
          <w:sz w:val="52"/>
          <w:szCs w:val="52"/>
          <w:lang w:val="en-US"/>
        </w:rPr>
      </w:pPr>
      <w:r>
        <w:rPr>
          <w:rFonts w:hint="eastAsia" w:ascii="宋体" w:hAnsi="宋体" w:eastAsia="宋体" w:cs="宋体"/>
          <w:b/>
          <w:bCs/>
          <w:sz w:val="52"/>
          <w:szCs w:val="52"/>
          <w:lang w:val="en-US"/>
        </w:rPr>
        <w:t>赛</w:t>
      </w:r>
    </w:p>
    <w:p>
      <w:pPr>
        <w:autoSpaceDE/>
        <w:autoSpaceDN/>
        <w:spacing w:before="240" w:beforeLines="100" w:after="240" w:afterLines="100"/>
        <w:jc w:val="center"/>
        <w:rPr>
          <w:rFonts w:ascii="宋体" w:hAnsi="宋体" w:eastAsia="宋体" w:cs="宋体"/>
          <w:b/>
          <w:bCs/>
          <w:sz w:val="52"/>
          <w:szCs w:val="52"/>
          <w:lang w:val="en-US"/>
        </w:rPr>
      </w:pPr>
      <w:r>
        <w:rPr>
          <w:rFonts w:hint="eastAsia" w:ascii="宋体" w:hAnsi="宋体" w:eastAsia="宋体" w:cs="宋体"/>
          <w:b/>
          <w:bCs/>
          <w:sz w:val="52"/>
          <w:szCs w:val="52"/>
          <w:lang w:val="en-US"/>
        </w:rPr>
        <w:t>规</w:t>
      </w:r>
    </w:p>
    <w:p>
      <w:pPr>
        <w:autoSpaceDE/>
        <w:autoSpaceDN/>
        <w:spacing w:before="240" w:beforeLines="100" w:after="240" w:afterLines="100"/>
        <w:jc w:val="center"/>
        <w:rPr>
          <w:rFonts w:ascii="宋体" w:hAnsi="宋体" w:eastAsia="宋体" w:cs="宋体"/>
          <w:b/>
          <w:bCs/>
          <w:sz w:val="52"/>
          <w:szCs w:val="52"/>
          <w:lang w:val="en-US"/>
        </w:rPr>
      </w:pPr>
      <w:r>
        <w:rPr>
          <w:rFonts w:hint="eastAsia" w:ascii="宋体" w:hAnsi="宋体" w:eastAsia="宋体" w:cs="宋体"/>
          <w:b/>
          <w:bCs/>
          <w:sz w:val="52"/>
          <w:szCs w:val="52"/>
          <w:lang w:val="en-US"/>
        </w:rPr>
        <w:t>程</w:t>
      </w:r>
    </w:p>
    <w:p>
      <w:pPr>
        <w:autoSpaceDE/>
        <w:autoSpaceDN/>
        <w:spacing w:before="240" w:beforeLines="100" w:after="240" w:afterLines="100"/>
        <w:jc w:val="center"/>
        <w:rPr>
          <w:rFonts w:ascii="宋体" w:hAnsi="宋体" w:eastAsia="宋体" w:cs="宋体"/>
          <w:b/>
          <w:bCs/>
          <w:sz w:val="52"/>
          <w:szCs w:val="52"/>
          <w:lang w:val="en-US"/>
        </w:rPr>
      </w:pPr>
    </w:p>
    <w:p>
      <w:pPr>
        <w:autoSpaceDE/>
        <w:autoSpaceDN/>
        <w:spacing w:before="240" w:beforeLines="100" w:after="240" w:afterLines="100"/>
        <w:jc w:val="center"/>
        <w:rPr>
          <w:rFonts w:ascii="宋体" w:hAnsi="宋体" w:eastAsia="宋体" w:cs="宋体"/>
          <w:b/>
          <w:bCs/>
          <w:sz w:val="52"/>
          <w:szCs w:val="52"/>
          <w:lang w:val="en-US"/>
        </w:rPr>
      </w:pPr>
    </w:p>
    <w:p>
      <w:pPr>
        <w:autoSpaceDE/>
        <w:autoSpaceDN/>
        <w:spacing w:before="240" w:beforeLines="100" w:after="240" w:afterLines="100"/>
        <w:jc w:val="center"/>
        <w:rPr>
          <w:rFonts w:ascii="宋体" w:hAnsi="宋体" w:eastAsia="宋体" w:cs="宋体"/>
          <w:b/>
          <w:bCs/>
          <w:sz w:val="52"/>
          <w:szCs w:val="52"/>
          <w:lang w:val="en-US"/>
        </w:rPr>
      </w:pPr>
    </w:p>
    <w:p>
      <w:pPr>
        <w:autoSpaceDE/>
        <w:autoSpaceDN/>
        <w:spacing w:before="240" w:beforeLines="100" w:after="240" w:afterLines="100"/>
        <w:jc w:val="center"/>
        <w:rPr>
          <w:rFonts w:ascii="宋体" w:hAnsi="宋体" w:eastAsia="宋体" w:cs="宋体"/>
          <w:b/>
          <w:bCs/>
          <w:sz w:val="52"/>
          <w:szCs w:val="52"/>
          <w:lang w:val="en-US"/>
        </w:rPr>
      </w:pPr>
    </w:p>
    <w:p>
      <w:pPr>
        <w:rPr>
          <w:rFonts w:ascii="黑体" w:hAnsi="黑体" w:eastAsia="黑体" w:cs="黑体"/>
          <w:sz w:val="30"/>
          <w:szCs w:val="30"/>
          <w:lang w:val="en-US"/>
        </w:rPr>
      </w:pPr>
      <w:r>
        <w:rPr>
          <w:rFonts w:hint="eastAsia" w:ascii="黑体" w:hAnsi="黑体" w:eastAsia="黑体" w:cs="黑体"/>
          <w:sz w:val="30"/>
          <w:szCs w:val="30"/>
          <w:lang w:val="en-US"/>
        </w:rPr>
        <w:br w:type="page"/>
      </w:r>
    </w:p>
    <w:sdt>
      <w:sdtPr>
        <w:rPr>
          <w:rFonts w:hint="eastAsia" w:ascii="仿宋_GB2312" w:hAnsi="仿宋_GB2312" w:eastAsia="仿宋_GB2312" w:cs="仿宋_GB2312"/>
          <w:b/>
          <w:kern w:val="2"/>
          <w:sz w:val="28"/>
          <w:szCs w:val="28"/>
          <w:lang w:bidi="ar-SA"/>
        </w:rPr>
        <w:id w:val="147462458"/>
        <w:docPartObj>
          <w:docPartGallery w:val="Table of Contents"/>
          <w:docPartUnique/>
        </w:docPartObj>
      </w:sdtPr>
      <w:sdtEndPr>
        <w:rPr>
          <w:rFonts w:hint="eastAsia" w:ascii="黑体" w:hAnsi="黑体" w:eastAsia="黑体" w:cs="黑体"/>
          <w:b/>
          <w:kern w:val="2"/>
          <w:sz w:val="22"/>
          <w:szCs w:val="30"/>
          <w:lang w:val="en-US" w:bidi="zh-CN"/>
        </w:rPr>
      </w:sdtEndPr>
      <w:sdtContent>
        <w:p>
          <w:pPr>
            <w:jc w:val="center"/>
            <w:rPr>
              <w:rFonts w:ascii="仿宋_GB2312" w:hAnsi="仿宋_GB2312" w:eastAsia="仿宋_GB2312" w:cs="仿宋_GB2312"/>
              <w:b/>
              <w:kern w:val="2"/>
              <w:sz w:val="28"/>
              <w:szCs w:val="28"/>
              <w:lang w:val="en-US" w:bidi="ar-SA"/>
            </w:rPr>
          </w:pPr>
          <w:r>
            <w:rPr>
              <w:rFonts w:hint="eastAsia" w:ascii="仿宋_GB2312" w:hAnsi="仿宋_GB2312" w:eastAsia="仿宋_GB2312" w:cs="仿宋_GB2312"/>
              <w:b/>
              <w:kern w:val="2"/>
              <w:sz w:val="28"/>
              <w:szCs w:val="28"/>
              <w:lang w:val="en-US" w:bidi="ar-SA"/>
            </w:rPr>
            <w:t>目录</w:t>
          </w:r>
        </w:p>
        <w:p>
          <w:pPr>
            <w:pStyle w:val="12"/>
            <w:tabs>
              <w:tab w:val="right" w:leader="dot" w:pos="9740"/>
            </w:tabs>
            <w:spacing w:line="305" w:lineRule="auto"/>
            <w:rPr>
              <w:rFonts w:ascii="仿宋" w:hAnsi="仿宋" w:eastAsia="仿宋" w:cs="仿宋"/>
            </w:rPr>
          </w:pPr>
          <w:r>
            <w:rPr>
              <w:rFonts w:hint="eastAsia" w:ascii="仿宋" w:hAnsi="仿宋" w:eastAsia="仿宋" w:cs="仿宋"/>
              <w:lang w:val="en-US"/>
            </w:rPr>
            <w:fldChar w:fldCharType="begin"/>
          </w:r>
          <w:r>
            <w:rPr>
              <w:rFonts w:hint="eastAsia" w:ascii="仿宋" w:hAnsi="仿宋" w:eastAsia="仿宋" w:cs="仿宋"/>
              <w:lang w:val="en-US"/>
            </w:rPr>
            <w:instrText xml:space="preserve">TOC \o "1-3" \h \u </w:instrText>
          </w:r>
          <w:r>
            <w:rPr>
              <w:rFonts w:hint="eastAsia" w:ascii="仿宋" w:hAnsi="仿宋" w:eastAsia="仿宋" w:cs="仿宋"/>
              <w:lang w:val="en-US"/>
            </w:rPr>
            <w:fldChar w:fldCharType="separate"/>
          </w:r>
          <w:r>
            <w:fldChar w:fldCharType="begin"/>
          </w:r>
          <w:r>
            <w:instrText xml:space="preserve"> HYPERLINK \l "_Toc22690" </w:instrText>
          </w:r>
          <w:r>
            <w:fldChar w:fldCharType="separate"/>
          </w:r>
          <w:r>
            <w:rPr>
              <w:rFonts w:hint="eastAsia" w:ascii="仿宋" w:hAnsi="仿宋" w:eastAsia="仿宋" w:cs="仿宋"/>
              <w:kern w:val="44"/>
              <w:lang w:val="en-US" w:bidi="ar-SA"/>
            </w:rPr>
            <w:t>一、 赛项名称</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_Toc22690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"_Toc26643" </w:instrText>
          </w:r>
          <w:r>
            <w:fldChar w:fldCharType="separate"/>
          </w:r>
          <w:r>
            <w:rPr>
              <w:rFonts w:hint="eastAsia" w:ascii="仿宋" w:hAnsi="仿宋" w:eastAsia="仿宋" w:cs="仿宋"/>
              <w:kern w:val="44"/>
              <w:lang w:val="en-US" w:bidi="ar-SA"/>
            </w:rPr>
            <w:t>二、 竞赛目的</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_Toc26643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"_Toc18130" </w:instrText>
          </w:r>
          <w:r>
            <w:fldChar w:fldCharType="separate"/>
          </w:r>
          <w:r>
            <w:rPr>
              <w:rFonts w:hint="eastAsia" w:ascii="仿宋" w:hAnsi="仿宋" w:eastAsia="仿宋" w:cs="仿宋"/>
              <w:kern w:val="44"/>
              <w:lang w:val="en-US" w:bidi="ar-SA"/>
            </w:rPr>
            <w:t>三、 竞赛时间、地点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_Toc18130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"_Toc21968" </w:instrText>
          </w:r>
          <w:r>
            <w:fldChar w:fldCharType="separate"/>
          </w:r>
          <w:r>
            <w:rPr>
              <w:rFonts w:hint="eastAsia" w:ascii="仿宋" w:hAnsi="仿宋" w:eastAsia="仿宋" w:cs="仿宋"/>
              <w:kern w:val="2"/>
              <w:lang w:val="en-US" w:bidi="ar-SA"/>
            </w:rPr>
            <w:t>（一） 竞赛时间</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_Toc21968 \h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"_Toc28631" </w:instrText>
          </w:r>
          <w:r>
            <w:fldChar w:fldCharType="separate"/>
          </w:r>
          <w:r>
            <w:rPr>
              <w:rFonts w:hint="eastAsia" w:ascii="仿宋" w:hAnsi="仿宋" w:eastAsia="仿宋" w:cs="仿宋"/>
              <w:kern w:val="2"/>
              <w:lang w:val="en-US" w:bidi="ar-SA"/>
            </w:rPr>
            <w:t>（二） 竞赛地点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_Toc28631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"_Toc12976" </w:instrText>
          </w:r>
          <w:r>
            <w:fldChar w:fldCharType="separate"/>
          </w:r>
          <w:r>
            <w:rPr>
              <w:rFonts w:hint="eastAsia" w:ascii="仿宋" w:hAnsi="仿宋" w:eastAsia="仿宋" w:cs="仿宋"/>
              <w:kern w:val="44"/>
              <w:lang w:val="en-US" w:bidi="ar-SA"/>
            </w:rPr>
            <w:t>四、 竞赛内容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_Toc12976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"_Toc17803" </w:instrText>
          </w:r>
          <w:r>
            <w:fldChar w:fldCharType="separate"/>
          </w:r>
          <w:r>
            <w:rPr>
              <w:rFonts w:hint="eastAsia" w:ascii="仿宋" w:hAnsi="仿宋" w:eastAsia="仿宋" w:cs="仿宋"/>
              <w:kern w:val="2"/>
              <w:lang w:val="en-US" w:bidi="ar-SA"/>
            </w:rPr>
            <w:t>（一） 竞赛内容</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_Toc17803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"_Toc4149" </w:instrText>
          </w:r>
          <w:r>
            <w:fldChar w:fldCharType="separate"/>
          </w:r>
          <w:r>
            <w:rPr>
              <w:rFonts w:hint="eastAsia" w:ascii="仿宋" w:hAnsi="仿宋" w:eastAsia="仿宋" w:cs="仿宋"/>
              <w:kern w:val="2"/>
              <w:lang w:val="en-US" w:bidi="ar-SA"/>
            </w:rPr>
            <w:t>（二） 竞赛要求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_Toc4149 \h </w:instrText>
          </w:r>
          <w:r>
            <w:rPr>
              <w:rFonts w:hint="eastAsia" w:ascii="仿宋" w:hAnsi="仿宋" w:eastAsia="仿宋" w:cs="仿宋"/>
            </w:rPr>
            <w:fldChar w:fldCharType="separate"/>
          </w:r>
          <w:r>
            <w:rPr>
              <w:rFonts w:hint="eastAsia" w:ascii="仿宋" w:hAnsi="仿宋" w:eastAsia="仿宋" w:cs="仿宋"/>
            </w:rPr>
            <w:t>2</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"_Toc9779" </w:instrText>
          </w:r>
          <w:r>
            <w:fldChar w:fldCharType="separate"/>
          </w:r>
          <w:r>
            <w:rPr>
              <w:rFonts w:hint="eastAsia" w:ascii="仿宋" w:hAnsi="仿宋" w:eastAsia="仿宋" w:cs="仿宋"/>
              <w:kern w:val="44"/>
              <w:lang w:val="en-US" w:bidi="ar-SA"/>
            </w:rPr>
            <w:t>五、 竞赛方式</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_Toc9779 \h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"_Toc17207" </w:instrText>
          </w:r>
          <w:r>
            <w:fldChar w:fldCharType="separate"/>
          </w:r>
          <w:r>
            <w:rPr>
              <w:rFonts w:hint="eastAsia" w:ascii="仿宋" w:hAnsi="仿宋" w:eastAsia="仿宋" w:cs="仿宋"/>
              <w:kern w:val="44"/>
              <w:lang w:val="en-US" w:bidi="ar-SA"/>
            </w:rPr>
            <w:t>六、 竞赛环境</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_Toc17207 \h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"_Toc19553" </w:instrText>
          </w:r>
          <w:r>
            <w:fldChar w:fldCharType="separate"/>
          </w:r>
          <w:r>
            <w:rPr>
              <w:rFonts w:hint="eastAsia" w:ascii="仿宋" w:hAnsi="仿宋" w:eastAsia="仿宋" w:cs="仿宋"/>
              <w:kern w:val="44"/>
              <w:lang w:val="en-US" w:bidi="ar-SA"/>
            </w:rPr>
            <w:t>七、 技术规范</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_Toc19553 \h </w:instrText>
          </w:r>
          <w:r>
            <w:rPr>
              <w:rFonts w:hint="eastAsia" w:ascii="仿宋" w:hAnsi="仿宋" w:eastAsia="仿宋" w:cs="仿宋"/>
            </w:rPr>
            <w:fldChar w:fldCharType="separate"/>
          </w:r>
          <w:r>
            <w:rPr>
              <w:rFonts w:hint="eastAsia" w:ascii="仿宋" w:hAnsi="仿宋" w:eastAsia="仿宋" w:cs="仿宋"/>
            </w:rPr>
            <w:t>4</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"_Toc22702" </w:instrText>
          </w:r>
          <w:r>
            <w:fldChar w:fldCharType="separate"/>
          </w:r>
          <w:r>
            <w:rPr>
              <w:rFonts w:hint="eastAsia" w:ascii="仿宋" w:hAnsi="仿宋" w:eastAsia="仿宋" w:cs="仿宋"/>
              <w:kern w:val="44"/>
              <w:lang w:val="en-US" w:bidi="ar-SA"/>
            </w:rPr>
            <w:t>八、 技术平台</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_Toc22702 \h </w:instrText>
          </w:r>
          <w:r>
            <w:rPr>
              <w:rFonts w:hint="eastAsia" w:ascii="仿宋" w:hAnsi="仿宋" w:eastAsia="仿宋" w:cs="仿宋"/>
            </w:rPr>
            <w:fldChar w:fldCharType="separate"/>
          </w:r>
          <w:r>
            <w:rPr>
              <w:rFonts w:hint="eastAsia" w:ascii="仿宋" w:hAnsi="仿宋" w:eastAsia="仿宋" w:cs="仿宋"/>
            </w:rPr>
            <w:t>5</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"_Toc8986" </w:instrText>
          </w:r>
          <w:r>
            <w:fldChar w:fldCharType="separate"/>
          </w:r>
          <w:r>
            <w:rPr>
              <w:rFonts w:hint="eastAsia" w:ascii="仿宋" w:hAnsi="仿宋" w:eastAsia="仿宋" w:cs="仿宋"/>
              <w:kern w:val="44"/>
              <w:lang w:val="en-US" w:bidi="ar-SA"/>
            </w:rPr>
            <w:t>九、 评分办法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_Toc8986 \h </w:instrText>
          </w:r>
          <w:r>
            <w:rPr>
              <w:rFonts w:hint="eastAsia" w:ascii="仿宋" w:hAnsi="仿宋" w:eastAsia="仿宋" w:cs="仿宋"/>
            </w:rPr>
            <w:fldChar w:fldCharType="separate"/>
          </w:r>
          <w:r>
            <w:rPr>
              <w:rFonts w:hint="eastAsia" w:ascii="仿宋" w:hAnsi="仿宋" w:eastAsia="仿宋" w:cs="仿宋"/>
            </w:rPr>
            <w:t>5</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"_Toc464" </w:instrText>
          </w:r>
          <w:r>
            <w:fldChar w:fldCharType="separate"/>
          </w:r>
          <w:r>
            <w:rPr>
              <w:rFonts w:hint="eastAsia" w:ascii="仿宋" w:hAnsi="仿宋" w:eastAsia="仿宋" w:cs="仿宋"/>
              <w:kern w:val="2"/>
              <w:lang w:val="en-US" w:bidi="ar-SA"/>
            </w:rPr>
            <w:t>（一） 制定原则</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_Toc464 \h </w:instrText>
          </w:r>
          <w:r>
            <w:rPr>
              <w:rFonts w:hint="eastAsia" w:ascii="仿宋" w:hAnsi="仿宋" w:eastAsia="仿宋" w:cs="仿宋"/>
            </w:rPr>
            <w:fldChar w:fldCharType="separate"/>
          </w:r>
          <w:r>
            <w:rPr>
              <w:rFonts w:hint="eastAsia" w:ascii="仿宋" w:hAnsi="仿宋" w:eastAsia="仿宋" w:cs="仿宋"/>
            </w:rPr>
            <w:t>5</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"_Toc18417" </w:instrText>
          </w:r>
          <w:r>
            <w:fldChar w:fldCharType="separate"/>
          </w:r>
          <w:r>
            <w:rPr>
              <w:rFonts w:hint="eastAsia" w:ascii="仿宋" w:hAnsi="仿宋" w:eastAsia="仿宋" w:cs="仿宋"/>
              <w:kern w:val="2"/>
              <w:lang w:val="en-US" w:bidi="ar-SA"/>
            </w:rPr>
            <w:t>（二） 评分方法</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_Toc18417 \h </w:instrText>
          </w:r>
          <w:r>
            <w:rPr>
              <w:rFonts w:hint="eastAsia" w:ascii="仿宋" w:hAnsi="仿宋" w:eastAsia="仿宋" w:cs="仿宋"/>
            </w:rPr>
            <w:fldChar w:fldCharType="separate"/>
          </w:r>
          <w:r>
            <w:rPr>
              <w:rFonts w:hint="eastAsia" w:ascii="仿宋" w:hAnsi="仿宋" w:eastAsia="仿宋" w:cs="仿宋"/>
            </w:rPr>
            <w:t>5</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"_Toc14896" </w:instrText>
          </w:r>
          <w:r>
            <w:fldChar w:fldCharType="separate"/>
          </w:r>
          <w:r>
            <w:rPr>
              <w:rFonts w:hint="eastAsia" w:ascii="仿宋" w:hAnsi="仿宋" w:eastAsia="仿宋" w:cs="仿宋"/>
              <w:kern w:val="2"/>
              <w:lang w:val="en-US" w:bidi="ar-SA"/>
            </w:rPr>
            <w:t>（三） 评分标准</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_Toc14896 \h </w:instrText>
          </w:r>
          <w:r>
            <w:rPr>
              <w:rFonts w:hint="eastAsia" w:ascii="仿宋" w:hAnsi="仿宋" w:eastAsia="仿宋" w:cs="仿宋"/>
            </w:rPr>
            <w:fldChar w:fldCharType="separate"/>
          </w:r>
          <w:r>
            <w:rPr>
              <w:rFonts w:hint="eastAsia" w:ascii="仿宋" w:hAnsi="仿宋" w:eastAsia="仿宋" w:cs="仿宋"/>
            </w:rPr>
            <w:t>6</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"_Toc4921" </w:instrText>
          </w:r>
          <w:r>
            <w:fldChar w:fldCharType="separate"/>
          </w:r>
          <w:r>
            <w:rPr>
              <w:rFonts w:hint="eastAsia" w:ascii="仿宋" w:hAnsi="仿宋" w:eastAsia="仿宋" w:cs="仿宋"/>
              <w:kern w:val="2"/>
              <w:lang w:val="en-US" w:bidi="ar-SA"/>
            </w:rPr>
            <w:t>（四） 成绩评定</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_Toc4921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"_Toc16320" </w:instrText>
          </w:r>
          <w:r>
            <w:fldChar w:fldCharType="separate"/>
          </w:r>
          <w:r>
            <w:rPr>
              <w:rFonts w:hint="eastAsia" w:ascii="仿宋" w:hAnsi="仿宋" w:eastAsia="仿宋" w:cs="仿宋"/>
              <w:kern w:val="2"/>
              <w:lang w:val="en-US" w:bidi="ar-SA"/>
            </w:rPr>
            <w:t>（五） 成绩公布</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_Toc16320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"_Toc32374" </w:instrText>
          </w:r>
          <w:r>
            <w:fldChar w:fldCharType="separate"/>
          </w:r>
          <w:r>
            <w:rPr>
              <w:rFonts w:hint="eastAsia" w:ascii="仿宋" w:hAnsi="仿宋" w:eastAsia="仿宋" w:cs="仿宋"/>
              <w:kern w:val="44"/>
              <w:lang w:val="en-US" w:bidi="ar-SA"/>
            </w:rPr>
            <w:t>十、 奖项设定</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_Toc32374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"_Toc29662" </w:instrText>
          </w:r>
          <w:r>
            <w:fldChar w:fldCharType="separate"/>
          </w:r>
          <w:r>
            <w:rPr>
              <w:rFonts w:hint="eastAsia" w:ascii="仿宋" w:hAnsi="仿宋" w:eastAsia="仿宋" w:cs="仿宋"/>
              <w:kern w:val="44"/>
              <w:lang w:val="en-US" w:bidi="ar-SA"/>
            </w:rPr>
            <w:t>十一、 申诉与仲裁</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_Toc29662 \h </w:instrText>
          </w:r>
          <w:r>
            <w:rPr>
              <w:rFonts w:hint="eastAsia" w:ascii="仿宋" w:hAnsi="仿宋" w:eastAsia="仿宋" w:cs="仿宋"/>
            </w:rPr>
            <w:fldChar w:fldCharType="separate"/>
          </w:r>
          <w:r>
            <w:rPr>
              <w:rFonts w:hint="eastAsia" w:ascii="仿宋" w:hAnsi="仿宋" w:eastAsia="仿宋" w:cs="仿宋"/>
            </w:rPr>
            <w:t>7</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"_Toc17340" </w:instrText>
          </w:r>
          <w:r>
            <w:fldChar w:fldCharType="separate"/>
          </w:r>
          <w:r>
            <w:rPr>
              <w:rFonts w:hint="eastAsia" w:ascii="仿宋" w:hAnsi="仿宋" w:eastAsia="仿宋" w:cs="仿宋"/>
              <w:kern w:val="44"/>
              <w:lang w:val="en-US" w:bidi="ar-SA"/>
            </w:rPr>
            <w:t>十二、 赛项安全</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_Toc17340 \h </w:instrText>
          </w:r>
          <w:r>
            <w:rPr>
              <w:rFonts w:hint="eastAsia" w:ascii="仿宋" w:hAnsi="仿宋" w:eastAsia="仿宋" w:cs="仿宋"/>
            </w:rPr>
            <w:fldChar w:fldCharType="separate"/>
          </w:r>
          <w:r>
            <w:rPr>
              <w:rFonts w:hint="eastAsia" w:ascii="仿宋" w:hAnsi="仿宋" w:eastAsia="仿宋" w:cs="仿宋"/>
            </w:rPr>
            <w:t>8</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"_Toc13781" </w:instrText>
          </w:r>
          <w:r>
            <w:fldChar w:fldCharType="separate"/>
          </w:r>
          <w:r>
            <w:rPr>
              <w:rFonts w:hint="eastAsia" w:ascii="仿宋" w:hAnsi="仿宋" w:eastAsia="仿宋" w:cs="仿宋"/>
              <w:kern w:val="2"/>
              <w:lang w:val="en-US" w:bidi="ar-SA"/>
            </w:rPr>
            <w:t>（一） 安全保障组织机构</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_Toc13781 \h </w:instrText>
          </w:r>
          <w:r>
            <w:rPr>
              <w:rFonts w:hint="eastAsia" w:ascii="仿宋" w:hAnsi="仿宋" w:eastAsia="仿宋" w:cs="仿宋"/>
            </w:rPr>
            <w:fldChar w:fldCharType="separate"/>
          </w:r>
          <w:r>
            <w:rPr>
              <w:rFonts w:hint="eastAsia" w:ascii="仿宋" w:hAnsi="仿宋" w:eastAsia="仿宋" w:cs="仿宋"/>
            </w:rPr>
            <w:t>8</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"_Toc9371" </w:instrText>
          </w:r>
          <w:r>
            <w:fldChar w:fldCharType="separate"/>
          </w:r>
          <w:r>
            <w:rPr>
              <w:rFonts w:hint="eastAsia" w:ascii="仿宋" w:hAnsi="仿宋" w:eastAsia="仿宋" w:cs="仿宋"/>
              <w:kern w:val="2"/>
              <w:lang w:val="en-US" w:bidi="ar-SA"/>
            </w:rPr>
            <w:t>（二） 选手安全要求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_Toc9371 \h </w:instrText>
          </w:r>
          <w:r>
            <w:rPr>
              <w:rFonts w:hint="eastAsia" w:ascii="仿宋" w:hAnsi="仿宋" w:eastAsia="仿宋" w:cs="仿宋"/>
            </w:rPr>
            <w:fldChar w:fldCharType="separate"/>
          </w:r>
          <w:r>
            <w:rPr>
              <w:rFonts w:hint="eastAsia" w:ascii="仿宋" w:hAnsi="仿宋" w:eastAsia="仿宋" w:cs="仿宋"/>
            </w:rPr>
            <w:t>8</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"_Toc2694" </w:instrText>
          </w:r>
          <w:r>
            <w:fldChar w:fldCharType="separate"/>
          </w:r>
          <w:r>
            <w:rPr>
              <w:rFonts w:hint="eastAsia" w:ascii="仿宋" w:hAnsi="仿宋" w:eastAsia="仿宋" w:cs="仿宋"/>
              <w:kern w:val="2"/>
              <w:lang w:val="en-US" w:bidi="ar-SA"/>
            </w:rPr>
            <w:t>（三） 安保工作要求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_Toc2694 \h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"_Toc32193" </w:instrText>
          </w:r>
          <w:r>
            <w:fldChar w:fldCharType="separate"/>
          </w:r>
          <w:r>
            <w:rPr>
              <w:rFonts w:hint="eastAsia" w:ascii="仿宋" w:hAnsi="仿宋" w:eastAsia="仿宋" w:cs="仿宋"/>
              <w:kern w:val="2"/>
              <w:lang w:val="en-US" w:bidi="ar-SA"/>
            </w:rPr>
            <w:t>（四） 裁判安全要求</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_Toc32193 \h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"_Toc16901" </w:instrText>
          </w:r>
          <w:r>
            <w:fldChar w:fldCharType="separate"/>
          </w:r>
          <w:r>
            <w:rPr>
              <w:rFonts w:hint="eastAsia" w:ascii="仿宋" w:hAnsi="仿宋" w:eastAsia="仿宋" w:cs="仿宋"/>
              <w:kern w:val="2"/>
              <w:lang w:val="en-US" w:bidi="ar-SA"/>
            </w:rPr>
            <w:t>（五） 赛场文明</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_Toc16901 \h </w:instrText>
          </w:r>
          <w:r>
            <w:rPr>
              <w:rFonts w:hint="eastAsia" w:ascii="仿宋" w:hAnsi="仿宋" w:eastAsia="仿宋" w:cs="仿宋"/>
            </w:rPr>
            <w:fldChar w:fldCharType="separate"/>
          </w:r>
          <w:r>
            <w:rPr>
              <w:rFonts w:hint="eastAsia" w:ascii="仿宋" w:hAnsi="仿宋" w:eastAsia="仿宋" w:cs="仿宋"/>
            </w:rPr>
            <w:t>9</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"_Toc13453" </w:instrText>
          </w:r>
          <w:r>
            <w:fldChar w:fldCharType="separate"/>
          </w:r>
          <w:r>
            <w:rPr>
              <w:rFonts w:hint="eastAsia" w:ascii="仿宋" w:hAnsi="仿宋" w:eastAsia="仿宋" w:cs="仿宋"/>
              <w:kern w:val="2"/>
              <w:lang w:val="en-US" w:bidi="ar-SA"/>
            </w:rPr>
            <w:t>（六） 应急处理预案</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_Toc13453 \h </w:instrText>
          </w:r>
          <w:r>
            <w:rPr>
              <w:rFonts w:hint="eastAsia" w:ascii="仿宋" w:hAnsi="仿宋" w:eastAsia="仿宋" w:cs="仿宋"/>
            </w:rPr>
            <w:fldChar w:fldCharType="separate"/>
          </w:r>
          <w:r>
            <w:rPr>
              <w:rFonts w:hint="eastAsia" w:ascii="仿宋" w:hAnsi="仿宋" w:eastAsia="仿宋" w:cs="仿宋"/>
            </w:rPr>
            <w:t>10</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"_Toc4975" </w:instrText>
          </w:r>
          <w:r>
            <w:fldChar w:fldCharType="separate"/>
          </w:r>
          <w:r>
            <w:rPr>
              <w:rFonts w:hint="eastAsia" w:ascii="仿宋" w:hAnsi="仿宋" w:eastAsia="仿宋" w:cs="仿宋"/>
              <w:kern w:val="2"/>
              <w:lang w:val="en-US" w:bidi="ar-SA"/>
            </w:rPr>
            <w:t>（七） 防疫保障</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_Toc4975 \h </w:instrText>
          </w:r>
          <w:r>
            <w:rPr>
              <w:rFonts w:hint="eastAsia" w:ascii="仿宋" w:hAnsi="仿宋" w:eastAsia="仿宋" w:cs="仿宋"/>
            </w:rPr>
            <w:fldChar w:fldCharType="separate"/>
          </w:r>
          <w:r>
            <w:rPr>
              <w:rFonts w:hint="eastAsia" w:ascii="仿宋" w:hAnsi="仿宋" w:eastAsia="仿宋" w:cs="仿宋"/>
            </w:rPr>
            <w:t>10</w:t>
          </w:r>
          <w:r>
            <w:rPr>
              <w:rFonts w:hint="eastAsia" w:ascii="仿宋" w:hAnsi="仿宋" w:eastAsia="仿宋" w:cs="仿宋"/>
            </w:rPr>
            <w:fldChar w:fldCharType="end"/>
          </w:r>
          <w:r>
            <w:rPr>
              <w:rFonts w:hint="eastAsia" w:ascii="仿宋" w:hAnsi="仿宋" w:eastAsia="仿宋" w:cs="仿宋"/>
            </w:rPr>
            <w:fldChar w:fldCharType="end"/>
          </w:r>
        </w:p>
        <w:p>
          <w:pPr>
            <w:pStyle w:val="12"/>
            <w:tabs>
              <w:tab w:val="right" w:leader="dot" w:pos="9740"/>
            </w:tabs>
            <w:spacing w:line="305" w:lineRule="auto"/>
            <w:rPr>
              <w:rFonts w:ascii="仿宋" w:hAnsi="仿宋" w:eastAsia="仿宋" w:cs="仿宋"/>
            </w:rPr>
          </w:pPr>
          <w:r>
            <w:fldChar w:fldCharType="begin"/>
          </w:r>
          <w:r>
            <w:instrText xml:space="preserve"> HYPERLINK \l "_Toc13837" </w:instrText>
          </w:r>
          <w:r>
            <w:fldChar w:fldCharType="separate"/>
          </w:r>
          <w:r>
            <w:rPr>
              <w:rFonts w:hint="eastAsia" w:ascii="仿宋" w:hAnsi="仿宋" w:eastAsia="仿宋" w:cs="仿宋"/>
              <w:kern w:val="44"/>
              <w:lang w:val="en-US" w:bidi="ar-SA"/>
            </w:rPr>
            <w:t>十三、 其他规定</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_Toc13837 \h </w:instrText>
          </w:r>
          <w:r>
            <w:rPr>
              <w:rFonts w:hint="eastAsia" w:ascii="仿宋" w:hAnsi="仿宋" w:eastAsia="仿宋" w:cs="仿宋"/>
            </w:rPr>
            <w:fldChar w:fldCharType="separate"/>
          </w:r>
          <w:r>
            <w:rPr>
              <w:rFonts w:hint="eastAsia" w:ascii="仿宋" w:hAnsi="仿宋" w:eastAsia="仿宋" w:cs="仿宋"/>
            </w:rPr>
            <w:t>12</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"_Toc10322" </w:instrText>
          </w:r>
          <w:r>
            <w:fldChar w:fldCharType="separate"/>
          </w:r>
          <w:r>
            <w:rPr>
              <w:rFonts w:hint="eastAsia" w:ascii="仿宋" w:hAnsi="仿宋" w:eastAsia="仿宋" w:cs="仿宋"/>
              <w:kern w:val="2"/>
              <w:lang w:val="en-US" w:bidi="ar-SA"/>
            </w:rPr>
            <w:t>（一） 参赛队伍须知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_Toc10322 \h </w:instrText>
          </w:r>
          <w:r>
            <w:rPr>
              <w:rFonts w:hint="eastAsia" w:ascii="仿宋" w:hAnsi="仿宋" w:eastAsia="仿宋" w:cs="仿宋"/>
            </w:rPr>
            <w:fldChar w:fldCharType="separate"/>
          </w:r>
          <w:r>
            <w:rPr>
              <w:rFonts w:hint="eastAsia" w:ascii="仿宋" w:hAnsi="仿宋" w:eastAsia="仿宋" w:cs="仿宋"/>
            </w:rPr>
            <w:t>12</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"_Toc15187" </w:instrText>
          </w:r>
          <w:r>
            <w:fldChar w:fldCharType="separate"/>
          </w:r>
          <w:r>
            <w:rPr>
              <w:rFonts w:hint="eastAsia" w:ascii="仿宋" w:hAnsi="仿宋" w:eastAsia="仿宋" w:cs="仿宋"/>
              <w:kern w:val="2"/>
              <w:lang w:val="en-US" w:bidi="ar-SA"/>
            </w:rPr>
            <w:t>（二） 指导教师须知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_Toc15187 \h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"_Toc7250" </w:instrText>
          </w:r>
          <w:r>
            <w:fldChar w:fldCharType="separate"/>
          </w:r>
          <w:r>
            <w:rPr>
              <w:rFonts w:hint="eastAsia" w:ascii="仿宋" w:hAnsi="仿宋" w:eastAsia="仿宋" w:cs="仿宋"/>
              <w:kern w:val="2"/>
              <w:lang w:val="en-US" w:bidi="ar-SA"/>
            </w:rPr>
            <w:t>（三） 参赛选手须知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_Toc7250 \h </w:instrText>
          </w:r>
          <w:r>
            <w:rPr>
              <w:rFonts w:hint="eastAsia" w:ascii="仿宋" w:hAnsi="仿宋" w:eastAsia="仿宋" w:cs="仿宋"/>
            </w:rPr>
            <w:fldChar w:fldCharType="separate"/>
          </w:r>
          <w:r>
            <w:rPr>
              <w:rFonts w:hint="eastAsia" w:ascii="仿宋" w:hAnsi="仿宋" w:eastAsia="仿宋" w:cs="仿宋"/>
            </w:rPr>
            <w:t>13</w:t>
          </w:r>
          <w:r>
            <w:rPr>
              <w:rFonts w:hint="eastAsia" w:ascii="仿宋" w:hAnsi="仿宋" w:eastAsia="仿宋" w:cs="仿宋"/>
            </w:rPr>
            <w:fldChar w:fldCharType="end"/>
          </w:r>
          <w:r>
            <w:rPr>
              <w:rFonts w:hint="eastAsia" w:ascii="仿宋" w:hAnsi="仿宋" w:eastAsia="仿宋" w:cs="仿宋"/>
            </w:rPr>
            <w:fldChar w:fldCharType="end"/>
          </w:r>
        </w:p>
        <w:p>
          <w:pPr>
            <w:pStyle w:val="13"/>
            <w:tabs>
              <w:tab w:val="right" w:leader="dot" w:pos="9740"/>
            </w:tabs>
            <w:spacing w:line="305" w:lineRule="auto"/>
            <w:ind w:left="440"/>
            <w:rPr>
              <w:rFonts w:ascii="仿宋" w:hAnsi="仿宋" w:eastAsia="仿宋" w:cs="仿宋"/>
            </w:rPr>
          </w:pPr>
          <w:r>
            <w:fldChar w:fldCharType="begin"/>
          </w:r>
          <w:r>
            <w:instrText xml:space="preserve"> HYPERLINK \l "_Toc25854" </w:instrText>
          </w:r>
          <w:r>
            <w:fldChar w:fldCharType="separate"/>
          </w:r>
          <w:r>
            <w:rPr>
              <w:rFonts w:hint="eastAsia" w:ascii="仿宋" w:hAnsi="仿宋" w:eastAsia="仿宋" w:cs="仿宋"/>
              <w:kern w:val="2"/>
              <w:lang w:val="en-US" w:bidi="ar-SA"/>
            </w:rPr>
            <w:t>（四） 工作人员须知</w:t>
          </w:r>
          <w:r>
            <w:rPr>
              <w:rFonts w:hint="eastAsia" w:ascii="仿宋" w:hAnsi="仿宋" w:eastAsia="仿宋" w:cs="仿宋"/>
            </w:rPr>
            <w:tab/>
          </w:r>
          <w:r>
            <w:rPr>
              <w:rFonts w:hint="eastAsia" w:ascii="仿宋" w:hAnsi="仿宋" w:eastAsia="仿宋" w:cs="仿宋"/>
            </w:rPr>
            <w:fldChar w:fldCharType="begin"/>
          </w:r>
          <w:r>
            <w:rPr>
              <w:rFonts w:hint="eastAsia" w:ascii="仿宋" w:hAnsi="仿宋" w:eastAsia="仿宋" w:cs="仿宋"/>
            </w:rPr>
            <w:instrText xml:space="preserve"> PAGEREF _Toc25854 \h </w:instrText>
          </w:r>
          <w:r>
            <w:rPr>
              <w:rFonts w:hint="eastAsia" w:ascii="仿宋" w:hAnsi="仿宋" w:eastAsia="仿宋" w:cs="仿宋"/>
            </w:rPr>
            <w:fldChar w:fldCharType="separate"/>
          </w:r>
          <w:r>
            <w:rPr>
              <w:rFonts w:hint="eastAsia" w:ascii="仿宋" w:hAnsi="仿宋" w:eastAsia="仿宋" w:cs="仿宋"/>
            </w:rPr>
            <w:t>14</w:t>
          </w:r>
          <w:r>
            <w:rPr>
              <w:rFonts w:hint="eastAsia" w:ascii="仿宋" w:hAnsi="仿宋" w:eastAsia="仿宋" w:cs="仿宋"/>
            </w:rPr>
            <w:fldChar w:fldCharType="end"/>
          </w:r>
          <w:r>
            <w:rPr>
              <w:rFonts w:hint="eastAsia" w:ascii="仿宋" w:hAnsi="仿宋" w:eastAsia="仿宋" w:cs="仿宋"/>
            </w:rPr>
            <w:fldChar w:fldCharType="end"/>
          </w:r>
        </w:p>
        <w:p>
          <w:pPr>
            <w:spacing w:line="305" w:lineRule="auto"/>
            <w:jc w:val="center"/>
            <w:rPr>
              <w:rFonts w:ascii="黑体" w:hAnsi="黑体" w:eastAsia="黑体" w:cs="黑体"/>
              <w:sz w:val="30"/>
              <w:szCs w:val="30"/>
              <w:lang w:val="en-US"/>
            </w:rPr>
            <w:sectPr>
              <w:headerReference r:id="rId3" w:type="default"/>
              <w:footerReference r:id="rId4" w:type="default"/>
              <w:pgSz w:w="11900" w:h="16840"/>
              <w:pgMar w:top="1440" w:right="1080" w:bottom="1440" w:left="1080" w:header="0" w:footer="1172" w:gutter="0"/>
              <w:cols w:space="720" w:num="1"/>
            </w:sectPr>
          </w:pPr>
          <w:r>
            <w:rPr>
              <w:rFonts w:hint="eastAsia" w:ascii="仿宋" w:hAnsi="仿宋" w:eastAsia="仿宋" w:cs="仿宋"/>
              <w:lang w:val="en-US"/>
            </w:rPr>
            <w:fldChar w:fldCharType="end"/>
          </w:r>
        </w:p>
      </w:sdtContent>
    </w:sdt>
    <w:p>
      <w:pPr>
        <w:spacing w:line="360" w:lineRule="auto"/>
        <w:jc w:val="center"/>
        <w:outlineLvl w:val="0"/>
        <w:rPr>
          <w:rFonts w:ascii="黑体" w:hAnsi="黑体" w:eastAsia="黑体" w:cs="黑体"/>
          <w:sz w:val="30"/>
          <w:szCs w:val="30"/>
          <w:lang w:val="en-US"/>
        </w:rPr>
      </w:pPr>
      <w:bookmarkStart w:id="0" w:name="_Toc2864"/>
      <w:bookmarkStart w:id="1" w:name="_Toc2384"/>
      <w:bookmarkStart w:id="2" w:name="_Toc30367"/>
      <w:r>
        <w:rPr>
          <w:rFonts w:hint="eastAsia" w:ascii="黑体" w:hAnsi="黑体" w:eastAsia="黑体" w:cs="黑体"/>
          <w:sz w:val="30"/>
          <w:szCs w:val="30"/>
          <w:lang w:val="en-US"/>
        </w:rPr>
        <w:t>202</w:t>
      </w:r>
      <w:r>
        <w:rPr>
          <w:rFonts w:ascii="黑体" w:hAnsi="黑体" w:eastAsia="黑体" w:cs="黑体"/>
          <w:sz w:val="30"/>
          <w:szCs w:val="30"/>
          <w:lang w:val="en-US"/>
        </w:rPr>
        <w:t>4</w:t>
      </w:r>
      <w:r>
        <w:rPr>
          <w:rFonts w:hint="eastAsia" w:ascii="黑体" w:hAnsi="黑体" w:eastAsia="黑体" w:cs="黑体"/>
          <w:sz w:val="30"/>
          <w:szCs w:val="30"/>
          <w:lang w:val="en-US"/>
        </w:rPr>
        <w:t>年兰州市</w:t>
      </w:r>
      <w:r>
        <w:rPr>
          <w:rFonts w:hint="eastAsia" w:ascii="黑体" w:hAnsi="黑体" w:eastAsia="黑体" w:cs="黑体"/>
          <w:sz w:val="30"/>
          <w:szCs w:val="30"/>
          <w:lang w:val="en-US" w:eastAsia="zh-CN"/>
        </w:rPr>
        <w:t>中等</w:t>
      </w:r>
      <w:r>
        <w:rPr>
          <w:rFonts w:hint="eastAsia" w:ascii="黑体" w:hAnsi="黑体" w:eastAsia="黑体" w:cs="黑体"/>
          <w:sz w:val="30"/>
          <w:szCs w:val="30"/>
          <w:lang w:val="en-US"/>
        </w:rPr>
        <w:t>职业</w:t>
      </w:r>
      <w:r>
        <w:rPr>
          <w:rFonts w:hint="eastAsia" w:ascii="黑体" w:hAnsi="黑体" w:eastAsia="黑体" w:cs="黑体"/>
          <w:sz w:val="30"/>
          <w:szCs w:val="30"/>
          <w:lang w:val="en-US" w:eastAsia="zh-CN"/>
        </w:rPr>
        <w:t>学校</w:t>
      </w:r>
      <w:r>
        <w:rPr>
          <w:rFonts w:hint="eastAsia" w:ascii="黑体" w:hAnsi="黑体" w:eastAsia="黑体" w:cs="黑体"/>
          <w:sz w:val="30"/>
          <w:szCs w:val="30"/>
          <w:lang w:val="en-US"/>
        </w:rPr>
        <w:t>技能大赛</w:t>
      </w:r>
      <w:bookmarkEnd w:id="0"/>
      <w:bookmarkEnd w:id="1"/>
      <w:bookmarkEnd w:id="2"/>
    </w:p>
    <w:p>
      <w:pPr>
        <w:spacing w:line="360" w:lineRule="auto"/>
        <w:jc w:val="center"/>
        <w:outlineLvl w:val="0"/>
        <w:rPr>
          <w:rFonts w:ascii="黑体" w:hAnsi="黑体" w:eastAsia="黑体" w:cs="黑体"/>
          <w:sz w:val="30"/>
          <w:szCs w:val="30"/>
          <w:lang w:val="en-US"/>
        </w:rPr>
      </w:pPr>
      <w:bookmarkStart w:id="3" w:name="_Toc12562"/>
      <w:bookmarkStart w:id="4" w:name="_Toc4314"/>
      <w:bookmarkStart w:id="5" w:name="_Toc22127"/>
      <w:r>
        <w:rPr>
          <w:rFonts w:hint="eastAsia" w:ascii="黑体" w:hAnsi="黑体" w:eastAsia="黑体" w:cs="黑体"/>
          <w:sz w:val="30"/>
          <w:szCs w:val="30"/>
          <w:lang w:val="en-US"/>
        </w:rPr>
        <w:t>赛项规程</w:t>
      </w:r>
      <w:bookmarkEnd w:id="3"/>
      <w:bookmarkEnd w:id="4"/>
      <w:bookmarkEnd w:id="5"/>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6" w:name="_Toc22690"/>
      <w:r>
        <w:rPr>
          <w:rFonts w:hint="eastAsia" w:ascii="黑体" w:hAnsi="黑体" w:eastAsia="黑体" w:cs="黑体"/>
          <w:kern w:val="44"/>
          <w:sz w:val="28"/>
          <w:szCs w:val="28"/>
          <w:lang w:val="en-US" w:bidi="ar-SA"/>
        </w:rPr>
        <w:t>赛项名称</w:t>
      </w:r>
      <w:bookmarkEnd w:id="6"/>
    </w:p>
    <w:p>
      <w:pPr>
        <w:pStyle w:val="6"/>
        <w:autoSpaceDE/>
        <w:autoSpaceDN/>
        <w:spacing w:line="360" w:lineRule="auto"/>
        <w:ind w:firstLine="480" w:firstLineChars="200"/>
        <w:jc w:val="both"/>
        <w:rPr>
          <w:rFonts w:ascii="仿宋_GB2312" w:hAnsi="仿宋_GB2312" w:eastAsia="仿宋_GB2312" w:cs="仿宋_GB2312"/>
          <w:kern w:val="2"/>
          <w:sz w:val="24"/>
          <w:szCs w:val="24"/>
          <w:lang w:val="en-US" w:bidi="ar-SA"/>
        </w:rPr>
      </w:pPr>
      <w:r>
        <w:rPr>
          <w:rFonts w:hint="eastAsia" w:ascii="仿宋_GB2312" w:hAnsi="仿宋_GB2312" w:eastAsia="仿宋_GB2312" w:cs="仿宋_GB2312"/>
          <w:kern w:val="2"/>
          <w:sz w:val="24"/>
          <w:szCs w:val="24"/>
          <w:lang w:val="en-US" w:bidi="ar-SA"/>
        </w:rPr>
        <w:t>赛项名称：土木工程无损检测</w:t>
      </w:r>
    </w:p>
    <w:p>
      <w:pPr>
        <w:pStyle w:val="6"/>
        <w:autoSpaceDE/>
        <w:autoSpaceDN/>
        <w:spacing w:line="360" w:lineRule="auto"/>
        <w:ind w:firstLine="480" w:firstLineChars="200"/>
        <w:jc w:val="both"/>
        <w:rPr>
          <w:rFonts w:ascii="仿宋_GB2312" w:hAnsi="仿宋_GB2312" w:eastAsia="仿宋_GB2312" w:cs="仿宋_GB2312"/>
          <w:kern w:val="2"/>
          <w:sz w:val="24"/>
          <w:szCs w:val="24"/>
          <w:lang w:val="en-US" w:bidi="ar-SA"/>
        </w:rPr>
      </w:pPr>
      <w:r>
        <w:rPr>
          <w:rFonts w:hint="eastAsia" w:ascii="仿宋_GB2312" w:hAnsi="仿宋_GB2312" w:eastAsia="仿宋_GB2312" w:cs="仿宋_GB2312"/>
          <w:kern w:val="2"/>
          <w:sz w:val="24"/>
          <w:szCs w:val="24"/>
          <w:lang w:val="en-US" w:bidi="ar-SA"/>
        </w:rPr>
        <w:t>赛项归属产业：交通运输类</w:t>
      </w:r>
      <w:bookmarkStart w:id="48" w:name="_GoBack"/>
      <w:bookmarkEnd w:id="48"/>
    </w:p>
    <w:p>
      <w:pPr>
        <w:pStyle w:val="6"/>
        <w:autoSpaceDE/>
        <w:autoSpaceDN/>
        <w:spacing w:line="360" w:lineRule="auto"/>
        <w:ind w:firstLine="480" w:firstLineChars="200"/>
        <w:jc w:val="both"/>
        <w:rPr>
          <w:rFonts w:ascii="仿宋_GB2312" w:hAnsi="仿宋_GB2312" w:eastAsia="仿宋_GB2312" w:cs="仿宋_GB2312"/>
          <w:kern w:val="2"/>
          <w:sz w:val="24"/>
          <w:szCs w:val="24"/>
          <w:lang w:val="en-US" w:bidi="ar-SA"/>
        </w:rPr>
      </w:pPr>
      <w:r>
        <w:rPr>
          <w:rFonts w:hint="eastAsia" w:ascii="仿宋_GB2312" w:hAnsi="仿宋_GB2312" w:eastAsia="仿宋_GB2312" w:cs="仿宋_GB2312"/>
          <w:kern w:val="2"/>
          <w:sz w:val="24"/>
          <w:szCs w:val="24"/>
          <w:lang w:val="en-US" w:bidi="ar-SA"/>
        </w:rPr>
        <w:t>赛项类别：团体赛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该赛项竞赛项目均为实操竞赛，现场根据测试工况，利用相关仪器设备完成相应模型的数据采集、数据分析和结果整理，并提交测试结果提交原始数据、测定结果(图/表)。</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7" w:name="_Toc26643"/>
      <w:r>
        <w:rPr>
          <w:rFonts w:hint="eastAsia" w:ascii="黑体" w:hAnsi="黑体" w:eastAsia="黑体" w:cs="黑体"/>
          <w:kern w:val="44"/>
          <w:sz w:val="28"/>
          <w:szCs w:val="28"/>
          <w:lang w:val="en-US" w:bidi="ar-SA"/>
        </w:rPr>
        <w:t>竞赛目的</w:t>
      </w:r>
      <w:bookmarkEnd w:id="7"/>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1）检验实践教学效果，检验学生的实践能力和基础知识的掌握水平，培养学生从事土木工程无损检测方面的实践能力。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2）检查学生对现场问题的分析与处理能力、各参赛院校组织管理与团队协作能力、适应实践需求的应变能力。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3）检验和培养学生养成认真细致的业务作风、团队协作的优秀品质、不怕苦、不怕累的工作态度和科学的工作方法。</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4）将无损检测技能竞赛作为推动土木建筑职业教育教学改革的有力抓手，推进土木建筑职业教育供给侧结构性改革，形成“以赛促教、以赛促学、以赛促建、以赛促改”的良性循环。</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5）面向供给促进教师教学与时俱进与变革创新；激发学生学习兴趣，培养科学探究的创新意识，促进面向供给侧的产教融合、校企合作技能型人才培养模式的变革。</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8" w:name="_Toc18130"/>
      <w:r>
        <w:rPr>
          <w:rFonts w:hint="eastAsia" w:ascii="黑体" w:hAnsi="黑体" w:eastAsia="黑体" w:cs="黑体"/>
          <w:kern w:val="44"/>
          <w:sz w:val="28"/>
          <w:szCs w:val="28"/>
          <w:lang w:val="en-US" w:bidi="ar-SA"/>
        </w:rPr>
        <w:t>竞赛时间、地点</w:t>
      </w:r>
      <w:bookmarkEnd w:id="8"/>
    </w:p>
    <w:p>
      <w:pPr>
        <w:pStyle w:val="4"/>
        <w:keepNext/>
        <w:keepLines/>
        <w:numPr>
          <w:ilvl w:val="0"/>
          <w:numId w:val="2"/>
        </w:numPr>
        <w:autoSpaceDE/>
        <w:autoSpaceDN/>
        <w:spacing w:line="360" w:lineRule="auto"/>
        <w:ind w:left="0"/>
        <w:jc w:val="both"/>
        <w:rPr>
          <w:rFonts w:ascii="Arial" w:hAnsi="Arial" w:eastAsia="黑体" w:cstheme="minorBidi"/>
          <w:b/>
          <w:kern w:val="2"/>
          <w:sz w:val="24"/>
          <w:szCs w:val="24"/>
          <w:lang w:val="en-US" w:bidi="ar-SA"/>
        </w:rPr>
      </w:pPr>
      <w:bookmarkStart w:id="9" w:name="_Toc21968"/>
      <w:r>
        <w:rPr>
          <w:rFonts w:hint="eastAsia" w:ascii="Arial" w:hAnsi="Arial" w:eastAsia="黑体" w:cstheme="minorBidi"/>
          <w:b/>
          <w:kern w:val="2"/>
          <w:sz w:val="24"/>
          <w:szCs w:val="24"/>
          <w:lang w:val="en-US" w:bidi="ar-SA"/>
        </w:rPr>
        <w:t>竞赛时间</w:t>
      </w:r>
      <w:bookmarkEnd w:id="9"/>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混凝土裂缝深度测定、锚杆长度测定、钢筋位置及保护层厚度测定合计用时60分钟。</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所有参赛队伍通过抽签确定参赛队伍编号，具体安排见表3-1。</w:t>
      </w:r>
    </w:p>
    <w:p>
      <w:pPr>
        <w:spacing w:before="120" w:beforeLines="50" w:after="120" w:afterLines="50" w:line="307" w:lineRule="auto"/>
        <w:jc w:val="center"/>
        <w:rPr>
          <w:rFonts w:ascii="仿宋_GB2312" w:hAnsi="仿宋_GB2312" w:eastAsia="仿宋_GB2312" w:cs="仿宋_GB2312"/>
          <w:b/>
          <w:kern w:val="2"/>
          <w:sz w:val="24"/>
          <w:szCs w:val="24"/>
          <w:lang w:val="en-US" w:bidi="ar-SA"/>
        </w:rPr>
      </w:pPr>
    </w:p>
    <w:p>
      <w:pPr>
        <w:spacing w:before="120" w:beforeLines="50" w:after="120" w:afterLines="50" w:line="307" w:lineRule="auto"/>
        <w:jc w:val="center"/>
        <w:rPr>
          <w:rFonts w:ascii="仿宋_GB2312" w:hAnsi="仿宋_GB2312" w:eastAsia="仿宋_GB2312" w:cs="仿宋_GB2312"/>
          <w:b/>
          <w:kern w:val="2"/>
          <w:sz w:val="24"/>
          <w:szCs w:val="24"/>
          <w:lang w:val="en-US" w:bidi="ar-SA"/>
        </w:rPr>
      </w:pPr>
    </w:p>
    <w:p>
      <w:pPr>
        <w:spacing w:before="120" w:beforeLines="50" w:after="120" w:afterLines="50" w:line="307" w:lineRule="auto"/>
        <w:jc w:val="center"/>
        <w:rPr>
          <w:rFonts w:ascii="仿宋_GB2312" w:hAnsi="仿宋_GB2312" w:eastAsia="仿宋_GB2312" w:cs="仿宋_GB2312"/>
          <w:b/>
          <w:kern w:val="2"/>
          <w:sz w:val="24"/>
          <w:szCs w:val="24"/>
          <w:lang w:val="en-US" w:bidi="ar-SA"/>
        </w:rPr>
      </w:pPr>
      <w:r>
        <w:rPr>
          <w:rFonts w:hint="eastAsia" w:ascii="仿宋_GB2312" w:hAnsi="仿宋_GB2312" w:eastAsia="仿宋_GB2312" w:cs="仿宋_GB2312"/>
          <w:b/>
          <w:kern w:val="2"/>
          <w:sz w:val="24"/>
          <w:szCs w:val="24"/>
          <w:lang w:val="en-US" w:bidi="ar-SA"/>
        </w:rPr>
        <w:t>表3-1  竞赛场次安排表</w:t>
      </w:r>
    </w:p>
    <w:tbl>
      <w:tblPr>
        <w:tblStyle w:val="15"/>
        <w:tblW w:w="4414" w:type="pct"/>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127"/>
        <w:gridCol w:w="1847"/>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时间</w:t>
            </w:r>
          </w:p>
        </w:tc>
        <w:tc>
          <w:tcPr>
            <w:tcW w:w="1210"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裂缝深度测定</w:t>
            </w:r>
          </w:p>
        </w:tc>
        <w:tc>
          <w:tcPr>
            <w:tcW w:w="1051"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锚杆长度测定</w:t>
            </w:r>
          </w:p>
        </w:tc>
        <w:tc>
          <w:tcPr>
            <w:tcW w:w="1692"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钢筋位置及保护层厚度测定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8:30</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11:30</w:t>
            </w:r>
          </w:p>
        </w:tc>
        <w:tc>
          <w:tcPr>
            <w:tcW w:w="1210"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16</w:t>
            </w:r>
          </w:p>
        </w:tc>
        <w:tc>
          <w:tcPr>
            <w:tcW w:w="1051"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c>
          <w:tcPr>
            <w:tcW w:w="1692"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13:00</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15:30</w:t>
            </w:r>
          </w:p>
        </w:tc>
        <w:tc>
          <w:tcPr>
            <w:tcW w:w="1210"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c>
          <w:tcPr>
            <w:tcW w:w="1051"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16</w:t>
            </w:r>
          </w:p>
        </w:tc>
        <w:tc>
          <w:tcPr>
            <w:tcW w:w="1692"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15:30</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18：00</w:t>
            </w:r>
          </w:p>
        </w:tc>
        <w:tc>
          <w:tcPr>
            <w:tcW w:w="1210"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c>
          <w:tcPr>
            <w:tcW w:w="1051"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轮空</w:t>
            </w:r>
          </w:p>
        </w:tc>
        <w:tc>
          <w:tcPr>
            <w:tcW w:w="1692"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w:t>
            </w:r>
            <w:r>
              <w:rPr>
                <w:rFonts w:hint="eastAsia" w:ascii="宋体" w:hAnsi="宋体" w:eastAsia="宋体" w:cs="宋体"/>
                <w:bCs/>
                <w:kern w:val="2"/>
                <w:sz w:val="21"/>
                <w:szCs w:val="21"/>
                <w:lang w:val="en-US" w:bidi="ar-SA"/>
              </w:rPr>
              <w:t>～</w:t>
            </w:r>
            <w:r>
              <w:rPr>
                <w:rFonts w:hint="eastAsia" w:ascii="仿宋_GB2312" w:hAnsi="仿宋_GB2312" w:eastAsia="仿宋_GB2312" w:cs="仿宋_GB2312"/>
                <w:bCs/>
                <w:kern w:val="2"/>
                <w:sz w:val="21"/>
                <w:szCs w:val="21"/>
                <w:lang w:val="en-US" w:bidi="ar-SA"/>
              </w:rPr>
              <w:t>16</w:t>
            </w:r>
          </w:p>
        </w:tc>
      </w:tr>
    </w:tbl>
    <w:p>
      <w:pPr>
        <w:autoSpaceDE/>
        <w:autoSpaceDN/>
        <w:spacing w:before="120" w:beforeLines="50" w:line="360" w:lineRule="auto"/>
        <w:ind w:firstLine="482" w:firstLineChars="200"/>
        <w:jc w:val="both"/>
        <w:rPr>
          <w:b/>
          <w:kern w:val="2"/>
          <w:sz w:val="24"/>
          <w:szCs w:val="24"/>
          <w:lang w:val="en-US" w:bidi="ar-SA"/>
        </w:rPr>
      </w:pPr>
      <w:r>
        <w:rPr>
          <w:rFonts w:hint="eastAsia"/>
          <w:b/>
          <w:kern w:val="2"/>
          <w:sz w:val="24"/>
          <w:szCs w:val="24"/>
          <w:lang w:val="en-US" w:bidi="ar-SA"/>
        </w:rPr>
        <w:t>注：学生组16组。</w:t>
      </w:r>
    </w:p>
    <w:p>
      <w:pPr>
        <w:pStyle w:val="4"/>
        <w:keepNext/>
        <w:keepLines/>
        <w:numPr>
          <w:ilvl w:val="0"/>
          <w:numId w:val="2"/>
        </w:numPr>
        <w:autoSpaceDE/>
        <w:autoSpaceDN/>
        <w:spacing w:line="360" w:lineRule="auto"/>
        <w:ind w:left="0"/>
        <w:jc w:val="both"/>
        <w:rPr>
          <w:rFonts w:ascii="Arial" w:hAnsi="Arial" w:eastAsia="黑体" w:cstheme="minorBidi"/>
          <w:b/>
          <w:kern w:val="2"/>
          <w:sz w:val="24"/>
          <w:szCs w:val="24"/>
          <w:lang w:val="en-US" w:bidi="ar-SA"/>
        </w:rPr>
      </w:pPr>
      <w:bookmarkStart w:id="10" w:name="_Toc28631"/>
      <w:r>
        <w:rPr>
          <w:rFonts w:hint="eastAsia" w:ascii="Arial" w:hAnsi="Arial" w:eastAsia="黑体" w:cstheme="minorBidi"/>
          <w:b/>
          <w:kern w:val="2"/>
          <w:sz w:val="24"/>
          <w:szCs w:val="24"/>
          <w:lang w:val="en-US" w:bidi="ar-SA"/>
        </w:rPr>
        <w:t>竞赛地点</w:t>
      </w:r>
      <w:bookmarkEnd w:id="10"/>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兰州现代职业学院城市建设学院实训4号楼</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11" w:name="_Toc12976"/>
      <w:r>
        <w:rPr>
          <w:rFonts w:hint="eastAsia" w:ascii="黑体" w:hAnsi="黑体" w:eastAsia="黑体" w:cs="黑体"/>
          <w:kern w:val="44"/>
          <w:sz w:val="28"/>
          <w:szCs w:val="28"/>
          <w:lang w:val="en-US" w:bidi="ar-SA"/>
        </w:rPr>
        <w:t>竞赛内容</w:t>
      </w:r>
      <w:bookmarkEnd w:id="11"/>
    </w:p>
    <w:p>
      <w:pPr>
        <w:pStyle w:val="4"/>
        <w:keepNext/>
        <w:keepLines/>
        <w:numPr>
          <w:ilvl w:val="0"/>
          <w:numId w:val="3"/>
        </w:numPr>
        <w:autoSpaceDE/>
        <w:autoSpaceDN/>
        <w:spacing w:line="360" w:lineRule="auto"/>
        <w:ind w:left="0"/>
        <w:jc w:val="both"/>
        <w:rPr>
          <w:rFonts w:ascii="Arial" w:hAnsi="Arial" w:eastAsia="黑体" w:cstheme="minorBidi"/>
          <w:b/>
          <w:kern w:val="2"/>
          <w:sz w:val="24"/>
          <w:szCs w:val="24"/>
          <w:lang w:val="en-US" w:bidi="ar-SA"/>
        </w:rPr>
      </w:pPr>
      <w:bookmarkStart w:id="12" w:name="_Toc17803"/>
      <w:r>
        <w:rPr>
          <w:rFonts w:hint="eastAsia" w:ascii="Arial" w:hAnsi="Arial" w:eastAsia="黑体" w:cstheme="minorBidi"/>
          <w:b/>
          <w:kern w:val="2"/>
          <w:sz w:val="24"/>
          <w:szCs w:val="24"/>
          <w:lang w:val="en-US" w:bidi="ar-SA"/>
        </w:rPr>
        <w:t>竞赛内容</w:t>
      </w:r>
      <w:bookmarkEnd w:id="12"/>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本次大赛竞赛内容为混凝土裂缝深度测定、锚杆长度测定、钢筋位置及保护层厚度测定，大赛内容包括：</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（1）混凝土裂缝深度测定：利用混凝土裂缝竞赛模型完成“裂缝深度”检测，每队测试两条裂缝深度，具体包括完成相应的波速标定、数据采集、数据分析和结果整理，并提交测试结果。</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（2）锚杆长度测定：针对测试对象，完成波速标定、数据采集、数据分析和结果整理，并提交相应的测试结果。</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（3）钢筋位置及保护层厚度测定：针对给定的模拟钢筋混凝土结构，完成钢筋位置及保护层厚度测定，进行相应的数据分析和结果整理，并提交相应的测试结果。</w:t>
      </w:r>
    </w:p>
    <w:p>
      <w:pPr>
        <w:spacing w:before="120" w:beforeLines="50" w:after="120" w:afterLines="50" w:line="307" w:lineRule="auto"/>
        <w:jc w:val="center"/>
        <w:rPr>
          <w:rFonts w:ascii="Times New Roman" w:hAnsi="Times New Roman" w:cs="Times New Roman"/>
          <w:b/>
          <w:bCs/>
          <w:sz w:val="24"/>
        </w:rPr>
      </w:pPr>
      <w:r>
        <w:rPr>
          <w:rFonts w:hint="eastAsia" w:ascii="仿宋_GB2312" w:hAnsi="仿宋_GB2312" w:eastAsia="仿宋_GB2312" w:cs="仿宋_GB2312"/>
          <w:b/>
          <w:kern w:val="2"/>
          <w:sz w:val="24"/>
          <w:szCs w:val="24"/>
          <w:lang w:val="en-US" w:bidi="ar-SA"/>
        </w:rPr>
        <w:t>表4-1  土木工程无损检测技能大赛竞赛内容、时间与权重表</w:t>
      </w:r>
    </w:p>
    <w:tbl>
      <w:tblPr>
        <w:tblStyle w:val="15"/>
        <w:tblW w:w="9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447"/>
        <w:gridCol w:w="1151"/>
        <w:gridCol w:w="1351"/>
        <w:gridCol w:w="1187"/>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708"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序号</w:t>
            </w:r>
          </w:p>
        </w:tc>
        <w:tc>
          <w:tcPr>
            <w:tcW w:w="2447"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项目名称</w:t>
            </w:r>
          </w:p>
        </w:tc>
        <w:tc>
          <w:tcPr>
            <w:tcW w:w="1151"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竞赛</w:t>
            </w:r>
          </w:p>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用时</w:t>
            </w:r>
          </w:p>
        </w:tc>
        <w:tc>
          <w:tcPr>
            <w:tcW w:w="1351"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参赛模式</w:t>
            </w:r>
          </w:p>
        </w:tc>
        <w:tc>
          <w:tcPr>
            <w:tcW w:w="1187"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所占权重（%）</w:t>
            </w:r>
          </w:p>
        </w:tc>
        <w:tc>
          <w:tcPr>
            <w:tcW w:w="2293" w:type="dxa"/>
            <w:shd w:val="clear" w:color="auto" w:fill="auto"/>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708"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1</w:t>
            </w:r>
          </w:p>
        </w:tc>
        <w:tc>
          <w:tcPr>
            <w:tcW w:w="244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混凝土裂缝深度测定</w:t>
            </w:r>
          </w:p>
        </w:tc>
        <w:tc>
          <w:tcPr>
            <w:tcW w:w="11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20分钟</w:t>
            </w:r>
          </w:p>
        </w:tc>
        <w:tc>
          <w:tcPr>
            <w:tcW w:w="13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整队参赛</w:t>
            </w:r>
          </w:p>
        </w:tc>
        <w:tc>
          <w:tcPr>
            <w:tcW w:w="118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30</w:t>
            </w:r>
          </w:p>
        </w:tc>
        <w:tc>
          <w:tcPr>
            <w:tcW w:w="2293"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完成指定两条裂缝深度测定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708"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2</w:t>
            </w:r>
          </w:p>
        </w:tc>
        <w:tc>
          <w:tcPr>
            <w:tcW w:w="244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锚杆长度测定</w:t>
            </w:r>
          </w:p>
        </w:tc>
        <w:tc>
          <w:tcPr>
            <w:tcW w:w="11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20分钟</w:t>
            </w:r>
          </w:p>
        </w:tc>
        <w:tc>
          <w:tcPr>
            <w:tcW w:w="13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整队参赛</w:t>
            </w:r>
          </w:p>
        </w:tc>
        <w:tc>
          <w:tcPr>
            <w:tcW w:w="118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30</w:t>
            </w:r>
          </w:p>
        </w:tc>
        <w:tc>
          <w:tcPr>
            <w:tcW w:w="2293" w:type="dxa"/>
            <w:vAlign w:val="center"/>
          </w:tcPr>
          <w:p>
            <w:pPr>
              <w:autoSpaceDE/>
              <w:autoSpaceDN/>
              <w:jc w:val="center"/>
              <w:rPr>
                <w:rFonts w:ascii="仿宋_GB2312" w:hAnsi="仿宋_GB2312" w:eastAsia="仿宋_GB2312" w:cs="仿宋_GB2312"/>
                <w:bCs/>
                <w:kern w:val="2"/>
                <w:sz w:val="21"/>
                <w:szCs w:val="21"/>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708"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3</w:t>
            </w:r>
          </w:p>
        </w:tc>
        <w:tc>
          <w:tcPr>
            <w:tcW w:w="244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钢筋位置与保护层厚度测定</w:t>
            </w:r>
          </w:p>
        </w:tc>
        <w:tc>
          <w:tcPr>
            <w:tcW w:w="11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20分钟</w:t>
            </w:r>
          </w:p>
        </w:tc>
        <w:tc>
          <w:tcPr>
            <w:tcW w:w="1351"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整队参赛</w:t>
            </w:r>
          </w:p>
        </w:tc>
        <w:tc>
          <w:tcPr>
            <w:tcW w:w="1187" w:type="dxa"/>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40</w:t>
            </w:r>
          </w:p>
        </w:tc>
        <w:tc>
          <w:tcPr>
            <w:tcW w:w="2293" w:type="dxa"/>
            <w:vAlign w:val="center"/>
          </w:tcPr>
          <w:p>
            <w:pPr>
              <w:autoSpaceDE/>
              <w:autoSpaceDN/>
              <w:jc w:val="center"/>
              <w:rPr>
                <w:rFonts w:ascii="仿宋_GB2312" w:hAnsi="仿宋_GB2312" w:eastAsia="仿宋_GB2312" w:cs="仿宋_GB2312"/>
                <w:bCs/>
                <w:kern w:val="2"/>
                <w:sz w:val="21"/>
                <w:szCs w:val="21"/>
                <w:lang w:val="en-US" w:bidi="ar-SA"/>
              </w:rPr>
            </w:pPr>
          </w:p>
        </w:tc>
      </w:tr>
    </w:tbl>
    <w:p>
      <w:pPr>
        <w:snapToGrid w:val="0"/>
        <w:spacing w:line="360" w:lineRule="auto"/>
        <w:ind w:firstLine="560" w:firstLineChars="200"/>
        <w:jc w:val="both"/>
        <w:rPr>
          <w:rFonts w:ascii="Times New Roman" w:hAnsi="Times New Roman" w:cs="仿宋_GB2312"/>
          <w:sz w:val="28"/>
          <w:szCs w:val="30"/>
          <w:lang w:val="en-US"/>
        </w:rPr>
      </w:pPr>
    </w:p>
    <w:p>
      <w:pPr>
        <w:pStyle w:val="4"/>
        <w:keepNext/>
        <w:keepLines/>
        <w:numPr>
          <w:ilvl w:val="0"/>
          <w:numId w:val="3"/>
        </w:numPr>
        <w:autoSpaceDE/>
        <w:autoSpaceDN/>
        <w:spacing w:line="360" w:lineRule="auto"/>
        <w:ind w:left="0"/>
        <w:jc w:val="both"/>
        <w:rPr>
          <w:rFonts w:ascii="Arial" w:hAnsi="Arial" w:eastAsia="黑体" w:cstheme="minorBidi"/>
          <w:b/>
          <w:kern w:val="2"/>
          <w:sz w:val="24"/>
          <w:szCs w:val="24"/>
          <w:lang w:val="en-US" w:bidi="ar-SA"/>
        </w:rPr>
      </w:pPr>
      <w:bookmarkStart w:id="13" w:name="_Toc4149"/>
      <w:r>
        <w:rPr>
          <w:rFonts w:hint="eastAsia" w:ascii="Arial" w:hAnsi="Arial" w:eastAsia="黑体" w:cstheme="minorBidi"/>
          <w:b/>
          <w:kern w:val="2"/>
          <w:sz w:val="24"/>
          <w:szCs w:val="24"/>
          <w:lang w:val="en-US" w:bidi="ar-SA"/>
        </w:rPr>
        <w:t>竞赛要求</w:t>
      </w:r>
      <w:bookmarkEnd w:id="13"/>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参赛选手应严格遵守赛场纪律，服从指挥，仪表端庄整洁，自觉遵守赛场纪律，服从赛项组委会的指挥和安排，爱护大赛场地的设备和器材。选手必须佩带参赛证提前30分钟进入大赛场地，比赛场地通过抽签决定，对号入座。</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2）参赛队在赛前10分钟领取比赛任务单并进入比赛工位，比赛正式开始后方可进行相关操作。</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3）现场裁判核对参赛选手资格，宣读《大赛规则》和《选手须知》。</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比赛过程中，选手须严格遵守操作规程，确保人身及设备安全，并接受裁判员的监督和指示，如遇问题须举手向裁判人员提问。若因选手原因造成设备故障或损坏而无法继续比赛的，裁判长有权决定终止该队比赛；若非因选手个人原因造成设备故障的，必须经现场裁判确认予以解决；故障中断时间不计时。</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5）参赛选手在比赛过程中不得擅自离开赛场，如有特殊情况，须经现场裁判同意后作特殊处理。</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6）当听到比赛结束命令时，参赛选手应立即停止所有操作，不得以任何理由拖延比赛时间。比赛结束（或提前完成）后，参赛队要确认已成功提交竞赛要求的配置文件和文档，并在相关文件上签字确认后离场。</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7）竞赛所需的硬件、软件和辅助工具统一提供，参赛队不得使用自带的任何有存储功能的设备，如硬盘、光盘、U盘、手机、手环等。离开赛场时，不得将与比赛有关的物品带离现场。</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14" w:name="_Toc9779"/>
      <w:r>
        <w:rPr>
          <w:rFonts w:hint="eastAsia" w:ascii="黑体" w:hAnsi="黑体" w:eastAsia="黑体" w:cs="黑体"/>
          <w:kern w:val="44"/>
          <w:sz w:val="28"/>
          <w:szCs w:val="28"/>
          <w:lang w:val="en-US" w:bidi="ar-SA"/>
        </w:rPr>
        <w:t>竞赛方式</w:t>
      </w:r>
      <w:bookmarkEnd w:id="14"/>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1）本次竞赛为团体赛，竞赛规模代表队合计学生组16个。凡兰州市开设交通运输类、土建施工、水利专业及相关专业的职业院校均可报名。</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2）大赛各赛项均为团队赛，以院校为单位组队参赛，不得跨校组队。每支参赛队由2名选手（设队长1名）和1-2名指导教师组成。所有参赛院校每支参赛队必须参加所有竞赛项目。</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3）参赛选手为中等职业院校土建工程类全日制在籍学生。</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4）赛队应稳定，经报名确认参赛选手原则不得更改，若有特殊情况，赛队不能全员参加，需提前向组委会申请，并说明原因，核实后，允许赛队缺员参赛，但参赛人数不得少于2人，否则赛队应自行退出比赛。</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5）比赛期间容许观众在指定的区域内现场观摩。</w:t>
      </w:r>
    </w:p>
    <w:p>
      <w:pPr>
        <w:pStyle w:val="6"/>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 xml:space="preserve">6）建议各院校为参赛教师和选手购买保险。 </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15" w:name="_Toc17207"/>
      <w:r>
        <w:rPr>
          <w:rFonts w:hint="eastAsia" w:ascii="黑体" w:hAnsi="黑体" w:eastAsia="黑体" w:cs="黑体"/>
          <w:kern w:val="44"/>
          <w:sz w:val="28"/>
          <w:szCs w:val="28"/>
          <w:lang w:val="en-US" w:bidi="ar-SA"/>
        </w:rPr>
        <w:t>竞赛环境</w:t>
      </w:r>
      <w:bookmarkEnd w:id="15"/>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组委会须在赛前组织专人对比赛现场、住宿场所和交通保障进行考察，并对安全工作提出明确要求。赛场的布置，赛场内的器材、设备，应符合国家有关安全规定。赛前应进行赛场仿真模拟测试，以发现可能出现的问题。承办单位赛前须按照执委会要求排除安全隐患。</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赛场周围要设立警戒线，要求所有参赛人员必须凭执委会印发的有效证件进入场地，防止无关人员进入发生意外事件。比赛现场内应参照相关职业岗位的要求为选手提供必要的劳动保护。在具有危险性的操作环节，裁判员要严防选手出现错误操作。</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3）承办单位应提供保证应急预案实施的条件。对于比赛内容涉及人身安全情况的赛项，必须明确制度和预案，并配备急救人员与设施。</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4）严格控制与参赛无关的易燃易爆以及各类危险品进入比赛场地，不许随便携带书包进入赛场。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5）配备先进的仪器，防止有人利用电磁波干扰比赛秩序。大赛现场需对赛场进行网络安全控制，以免场内外信息交互，充分体现大赛的严肃、公平和公正性。</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6）组委会须会同承办单位制定开放赛场和体验区的人员疏导方案。赛场环境中存在人员密集、车流人流交错的区域，除了设置齐全的指示标志外，须增加引导人员，并开辟备用通道。</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7）大赛期间，承办单位须在赛场管理的关键岗位，增加力量，建立安全管理日志。</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16" w:name="_Toc19553"/>
      <w:r>
        <w:rPr>
          <w:rFonts w:hint="eastAsia" w:ascii="黑体" w:hAnsi="黑体" w:eastAsia="黑体" w:cs="黑体"/>
          <w:kern w:val="44"/>
          <w:sz w:val="28"/>
          <w:szCs w:val="28"/>
          <w:lang w:val="en-US" w:bidi="ar-SA"/>
        </w:rPr>
        <w:t>技术规范</w:t>
      </w:r>
      <w:bookmarkEnd w:id="16"/>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1）《冲击回波法检测混凝土缺陷技术规程》JGJ/T 411-2017</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2）《锚杆锚固质量无损检测技术规程》JGJ/T 182-2009</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3）《混凝土中钢筋检测技术规程》JGJ/T152-2008</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4）《水工混凝土结构缺陷检测技术规程》SL 713-2015</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5）《混凝土结构现场检测技术标准》GB/T 50784-2013</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6）《电磁感应法检测钢筋保护层厚度和钢筋直径技术规程》DB11/T365-2006</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7）《钢筋保护层厚度测量仪、楼板厚度测量仪计量校准规范》JJF1224-2009</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8）本赛项技术规范（凡与上述标准不一致的内容以赛项技术规范为准）</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17" w:name="_Toc22702"/>
      <w:r>
        <w:rPr>
          <w:rFonts w:hint="eastAsia" w:ascii="黑体" w:hAnsi="黑体" w:eastAsia="黑体" w:cs="黑体"/>
          <w:kern w:val="44"/>
          <w:sz w:val="28"/>
          <w:szCs w:val="28"/>
          <w:lang w:val="en-US" w:bidi="ar-SA"/>
        </w:rPr>
        <w:t>技术平台</w:t>
      </w:r>
      <w:bookmarkEnd w:id="17"/>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竞赛使用的所有仪器、附件及计算工具均由大赛组委会统一提供，包括：</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18" w:name="_Toc24663"/>
      <w:r>
        <w:rPr>
          <w:rFonts w:hint="eastAsia" w:ascii="仿宋_GB2312" w:hAnsi="仿宋_GB2312" w:eastAsia="仿宋_GB2312" w:cs="仿宋_GB2312"/>
          <w:bCs/>
          <w:kern w:val="2"/>
          <w:sz w:val="24"/>
          <w:szCs w:val="24"/>
          <w:lang w:val="en-US" w:bidi="ar-SA"/>
        </w:rPr>
        <w:t>1）混凝土裂缝深度测定</w:t>
      </w:r>
      <w:bookmarkEnd w:id="18"/>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冲击弹性波无损检测仪：含激振装置、传感器、采集软件、分析软件，可测试混凝土结构厚度、裂缝深度、内部缺陷。</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19" w:name="_Toc1537"/>
      <w:r>
        <w:rPr>
          <w:rFonts w:hint="eastAsia" w:ascii="仿宋_GB2312" w:hAnsi="仿宋_GB2312" w:eastAsia="仿宋_GB2312" w:cs="仿宋_GB2312"/>
          <w:bCs/>
          <w:kern w:val="2"/>
          <w:sz w:val="24"/>
          <w:szCs w:val="24"/>
          <w:lang w:val="en-US" w:bidi="ar-SA"/>
        </w:rPr>
        <w:t>2）锚杆长度测定</w:t>
      </w:r>
      <w:bookmarkEnd w:id="19"/>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锚杆无损检测仪：含激振装置、传感器、采集软件、分析软件，可测试锚杆长度。</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20" w:name="_Toc1488"/>
      <w:r>
        <w:rPr>
          <w:rFonts w:hint="eastAsia" w:ascii="仿宋_GB2312" w:hAnsi="仿宋_GB2312" w:eastAsia="仿宋_GB2312" w:cs="仿宋_GB2312"/>
          <w:bCs/>
          <w:kern w:val="2"/>
          <w:sz w:val="24"/>
          <w:szCs w:val="24"/>
          <w:lang w:val="en-US" w:bidi="ar-SA"/>
        </w:rPr>
        <w:t>3）钢筋位置及保护层厚度测定</w:t>
      </w:r>
      <w:bookmarkEnd w:id="20"/>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钢筋扫描仪：含钢筋扫描探头、采集软件、分析软件，可测试钢筋位置及保护层厚度。</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21" w:name="_Toc8986"/>
      <w:r>
        <w:rPr>
          <w:rFonts w:hint="eastAsia" w:ascii="黑体" w:hAnsi="黑体" w:eastAsia="黑体" w:cs="黑体"/>
          <w:kern w:val="44"/>
          <w:sz w:val="28"/>
          <w:szCs w:val="28"/>
          <w:lang w:val="en-US" w:bidi="ar-SA"/>
        </w:rPr>
        <w:t>评分办法</w:t>
      </w:r>
      <w:bookmarkEnd w:id="21"/>
    </w:p>
    <w:p>
      <w:pPr>
        <w:pStyle w:val="4"/>
        <w:keepNext/>
        <w:keepLines/>
        <w:numPr>
          <w:ilvl w:val="0"/>
          <w:numId w:val="4"/>
        </w:numPr>
        <w:autoSpaceDE/>
        <w:autoSpaceDN/>
        <w:spacing w:line="360" w:lineRule="auto"/>
        <w:ind w:left="0"/>
        <w:jc w:val="both"/>
        <w:rPr>
          <w:rFonts w:ascii="Arial" w:hAnsi="Arial" w:eastAsia="黑体" w:cstheme="minorBidi"/>
          <w:b/>
          <w:kern w:val="2"/>
          <w:sz w:val="24"/>
          <w:szCs w:val="24"/>
          <w:lang w:val="en-US" w:bidi="ar-SA"/>
        </w:rPr>
      </w:pPr>
      <w:bookmarkStart w:id="22" w:name="_Toc464"/>
      <w:r>
        <w:rPr>
          <w:rFonts w:hint="eastAsia" w:ascii="Arial" w:hAnsi="Arial" w:eastAsia="黑体" w:cstheme="minorBidi"/>
          <w:b/>
          <w:kern w:val="2"/>
          <w:sz w:val="24"/>
          <w:szCs w:val="24"/>
          <w:lang w:val="en-US" w:bidi="ar-SA"/>
        </w:rPr>
        <w:t>制定原则</w:t>
      </w:r>
      <w:bookmarkEnd w:id="22"/>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1）以国家及行业相关检测标准规范为准制订评分细则。</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2）评分办法和细则有利于培养学生养成严谨求实的业务作风和精益求精的职业素养。</w:t>
      </w:r>
    </w:p>
    <w:p>
      <w:pPr>
        <w:pStyle w:val="4"/>
        <w:keepNext/>
        <w:keepLines/>
        <w:numPr>
          <w:ilvl w:val="0"/>
          <w:numId w:val="4"/>
        </w:numPr>
        <w:autoSpaceDE/>
        <w:autoSpaceDN/>
        <w:spacing w:line="360" w:lineRule="auto"/>
        <w:ind w:left="0"/>
        <w:jc w:val="both"/>
        <w:rPr>
          <w:rFonts w:ascii="Arial" w:hAnsi="Arial" w:eastAsia="黑体" w:cstheme="minorBidi"/>
          <w:b/>
          <w:kern w:val="2"/>
          <w:sz w:val="24"/>
          <w:szCs w:val="24"/>
          <w:lang w:val="en-US" w:bidi="ar-SA"/>
        </w:rPr>
      </w:pPr>
      <w:bookmarkStart w:id="23" w:name="_Toc18417"/>
      <w:r>
        <w:rPr>
          <w:rFonts w:hint="eastAsia" w:ascii="Arial" w:hAnsi="Arial" w:eastAsia="黑体" w:cstheme="minorBidi"/>
          <w:b/>
          <w:kern w:val="2"/>
          <w:sz w:val="24"/>
          <w:szCs w:val="24"/>
          <w:lang w:val="en-US" w:bidi="ar-SA"/>
        </w:rPr>
        <w:t>评分方法</w:t>
      </w:r>
      <w:bookmarkEnd w:id="23"/>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竞赛成绩主要从参赛队的成果质量（检测准备、检测步骤、检测记录、数据处理、检测结果、设备整理）、作业效率、竞赛风貌三个方面进行计算，采用百分制。其中作业效率总分10分，按各组竞赛用时计算；竞赛风貌总分5分，根据各队精神风貌、纪律行为评分；成果质量总分85分，按照实施细则评定。</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2）团体总成绩按参赛队三个单项成绩加权求和：</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团体总成绩=混凝土裂缝深度测定成绩×30%＋锚杆长度测定成绩×30%＋钢筋位置及保护层厚度测定×40%。</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若两队总分相等，按照以下顺序确定名次：</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（1）钢筋位置及保护层厚度测定质量成绩高；</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（2）锚杆长度测定质量成绩高；</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（3）竞赛用时少（混凝土裂缝深度测定时间＋锚杆长度测定时间＋钢筋位置及保护层厚度测定时间）；</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（4）竞赛最大时长限制：各赛项最长竞赛时间不超过20分钟，任何比赛项目均不得超时，否则立即终止比赛；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（5）凡因超限、超时未完成比赛或定性为不合格的成果成绩为0；</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（6）竞赛过程中伪造数据者，取消该队全部竞赛资格，并报请兰州市职业院校技能大赛办公室通报批评。</w:t>
      </w:r>
    </w:p>
    <w:p>
      <w:pPr>
        <w:pStyle w:val="4"/>
        <w:keepNext/>
        <w:keepLines/>
        <w:numPr>
          <w:ilvl w:val="0"/>
          <w:numId w:val="4"/>
        </w:numPr>
        <w:autoSpaceDE/>
        <w:autoSpaceDN/>
        <w:spacing w:line="360" w:lineRule="auto"/>
        <w:ind w:left="0"/>
        <w:jc w:val="both"/>
        <w:rPr>
          <w:rFonts w:ascii="Arial" w:hAnsi="Arial" w:eastAsia="黑体" w:cstheme="minorBidi"/>
          <w:b/>
          <w:kern w:val="2"/>
          <w:sz w:val="24"/>
          <w:szCs w:val="24"/>
          <w:lang w:val="en-US" w:bidi="ar-SA"/>
        </w:rPr>
      </w:pPr>
      <w:bookmarkStart w:id="24" w:name="_Toc14896"/>
      <w:r>
        <w:rPr>
          <w:rFonts w:hint="eastAsia" w:ascii="Arial" w:hAnsi="Arial" w:eastAsia="黑体" w:cstheme="minorBidi"/>
          <w:b/>
          <w:kern w:val="2"/>
          <w:sz w:val="24"/>
          <w:szCs w:val="24"/>
          <w:lang w:val="en-US" w:bidi="ar-SA"/>
        </w:rPr>
        <w:t>评分标准</w:t>
      </w:r>
      <w:bookmarkEnd w:id="24"/>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竞赛用时占10分，参赛风貌5分，操作及成果质量占85分。</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25" w:name="_Toc4303"/>
      <w:r>
        <w:rPr>
          <w:rFonts w:hint="eastAsia" w:ascii="仿宋_GB2312" w:hAnsi="仿宋_GB2312" w:eastAsia="仿宋_GB2312" w:cs="仿宋_GB2312"/>
          <w:bCs/>
          <w:kern w:val="2"/>
          <w:sz w:val="24"/>
          <w:szCs w:val="24"/>
          <w:lang w:val="en-US" w:bidi="ar-SA"/>
        </w:rPr>
        <w:t>1）竞赛用时成绩评分</w:t>
      </w:r>
      <w:bookmarkEnd w:id="25"/>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根据现场裁判计时，由裁判委员会组织按评分办法计算评定。</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26" w:name="_Toc12563"/>
      <w:r>
        <w:rPr>
          <w:rFonts w:hint="eastAsia" w:ascii="仿宋_GB2312" w:hAnsi="仿宋_GB2312" w:eastAsia="仿宋_GB2312" w:cs="仿宋_GB2312"/>
          <w:bCs/>
          <w:kern w:val="2"/>
          <w:sz w:val="24"/>
          <w:szCs w:val="24"/>
          <w:lang w:val="en-US" w:bidi="ar-SA"/>
        </w:rPr>
        <w:t>2）参赛风貌评分</w:t>
      </w:r>
      <w:bookmarkEnd w:id="26"/>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根据现场参赛选手衣着、操作规范性、进退场秩序由裁判打分。</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27" w:name="_Toc6067"/>
      <w:r>
        <w:rPr>
          <w:rFonts w:hint="eastAsia" w:ascii="仿宋_GB2312" w:hAnsi="仿宋_GB2312" w:eastAsia="仿宋_GB2312" w:cs="仿宋_GB2312"/>
          <w:bCs/>
          <w:kern w:val="2"/>
          <w:sz w:val="24"/>
          <w:szCs w:val="24"/>
          <w:lang w:val="en-US" w:bidi="ar-SA"/>
        </w:rPr>
        <w:t>3）竞赛成果质量评分标准</w:t>
      </w:r>
      <w:bookmarkEnd w:id="27"/>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操作及成果质量由现场裁判根据评分办法评定。出现表9-1中情况给予取消竞赛资格及扣分处罚。</w:t>
      </w:r>
    </w:p>
    <w:p>
      <w:pPr>
        <w:spacing w:before="120" w:beforeLines="50" w:after="120" w:afterLines="50" w:line="307" w:lineRule="auto"/>
        <w:jc w:val="center"/>
        <w:rPr>
          <w:rFonts w:ascii="仿宋_GB2312" w:hAnsi="仿宋_GB2312" w:eastAsia="仿宋_GB2312" w:cs="仿宋_GB2312"/>
          <w:b/>
          <w:kern w:val="2"/>
          <w:sz w:val="24"/>
          <w:szCs w:val="24"/>
          <w:lang w:val="en-US" w:bidi="ar-SA"/>
        </w:rPr>
      </w:pPr>
      <w:r>
        <w:rPr>
          <w:rFonts w:hint="eastAsia" w:ascii="仿宋_GB2312" w:hAnsi="仿宋_GB2312" w:eastAsia="仿宋_GB2312" w:cs="仿宋_GB2312"/>
          <w:b/>
          <w:kern w:val="2"/>
          <w:sz w:val="24"/>
          <w:szCs w:val="24"/>
          <w:lang w:val="en-US" w:bidi="ar-SA"/>
        </w:rPr>
        <w:t>表9-1  竞赛成果质量评分标准</w:t>
      </w:r>
    </w:p>
    <w:tbl>
      <w:tblPr>
        <w:tblStyle w:val="14"/>
        <w:tblW w:w="48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1"/>
        <w:gridCol w:w="3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shd w:val="clear" w:color="auto" w:fill="auto"/>
            <w:vAlign w:val="center"/>
          </w:tcPr>
          <w:p>
            <w:pPr>
              <w:autoSpaceDE/>
              <w:autoSpaceDN/>
              <w:jc w:val="center"/>
              <w:rPr>
                <w:rFonts w:ascii="仿宋_GB2312" w:hAnsi="仿宋_GB2312" w:eastAsia="仿宋_GB2312" w:cs="仿宋_GB2312"/>
                <w:b/>
                <w:kern w:val="2"/>
                <w:sz w:val="21"/>
                <w:szCs w:val="21"/>
                <w:lang w:val="en-US" w:bidi="ar-SA"/>
              </w:rPr>
            </w:pPr>
            <w:r>
              <w:rPr>
                <w:rFonts w:hint="eastAsia" w:ascii="仿宋_GB2312" w:hAnsi="仿宋_GB2312" w:eastAsia="仿宋_GB2312" w:cs="仿宋_GB2312"/>
                <w:b/>
                <w:kern w:val="2"/>
                <w:sz w:val="21"/>
                <w:szCs w:val="21"/>
                <w:lang w:val="en-US" w:bidi="ar-SA"/>
              </w:rPr>
              <w:t>评测内容</w:t>
            </w:r>
          </w:p>
        </w:tc>
        <w:tc>
          <w:tcPr>
            <w:tcW w:w="2006" w:type="pct"/>
            <w:shd w:val="clear" w:color="auto" w:fill="auto"/>
            <w:vAlign w:val="center"/>
          </w:tcPr>
          <w:p>
            <w:pPr>
              <w:autoSpaceDE/>
              <w:autoSpaceDN/>
              <w:jc w:val="center"/>
              <w:rPr>
                <w:rFonts w:ascii="仿宋_GB2312" w:hAnsi="仿宋_GB2312" w:eastAsia="仿宋_GB2312" w:cs="仿宋_GB2312"/>
                <w:b/>
                <w:kern w:val="2"/>
                <w:sz w:val="21"/>
                <w:szCs w:val="21"/>
                <w:lang w:val="en-US" w:bidi="ar-SA"/>
              </w:rPr>
            </w:pPr>
            <w:r>
              <w:rPr>
                <w:rFonts w:hint="eastAsia" w:ascii="仿宋_GB2312" w:hAnsi="仿宋_GB2312" w:eastAsia="仿宋_GB2312" w:cs="仿宋_GB2312"/>
                <w:b/>
                <w:kern w:val="2"/>
                <w:sz w:val="21"/>
                <w:szCs w:val="21"/>
                <w:lang w:val="en-US" w:bidi="ar-S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将教材及非赛会配发的竞赛用具带入竞赛场地</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违规使用电话等通讯设备</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故意干扰其他队测量</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不听裁判劝阻，取消竞赛资格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仪器设备损坏或者甩落地</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选手不按规程要求轮换竞赛工作</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轮换错误1次扣10分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未将全部仪器设备按要求整理归还至领用处</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经裁判提醒不按要求完成，扣10分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竞赛过程中，指导教师进入竞赛场地或在场外进行指导</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违规1次扣10分。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选手在竞赛过程中擅自离开赛场</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伪造数据</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将现场记录表格带离竞赛场地</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成绩无效，取消竞赛资格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994"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其他扣分事项</w:t>
            </w:r>
          </w:p>
        </w:tc>
        <w:tc>
          <w:tcPr>
            <w:tcW w:w="2006" w:type="pct"/>
            <w:vAlign w:val="center"/>
          </w:tcPr>
          <w:p>
            <w:pPr>
              <w:autoSpaceDE/>
              <w:autoSpaceDN/>
              <w:jc w:val="center"/>
              <w:rPr>
                <w:rFonts w:ascii="仿宋_GB2312" w:hAnsi="仿宋_GB2312" w:eastAsia="仿宋_GB2312" w:cs="仿宋_GB2312"/>
                <w:bCs/>
                <w:kern w:val="2"/>
                <w:sz w:val="21"/>
                <w:szCs w:val="21"/>
                <w:lang w:val="en-US" w:bidi="ar-SA"/>
              </w:rPr>
            </w:pPr>
            <w:r>
              <w:rPr>
                <w:rFonts w:hint="eastAsia" w:ascii="仿宋_GB2312" w:hAnsi="仿宋_GB2312" w:eastAsia="仿宋_GB2312" w:cs="仿宋_GB2312"/>
                <w:bCs/>
                <w:kern w:val="2"/>
                <w:sz w:val="21"/>
                <w:szCs w:val="21"/>
                <w:lang w:val="en-US" w:bidi="ar-SA"/>
              </w:rPr>
              <w:t>由裁判、裁判长裁定</w:t>
            </w:r>
          </w:p>
        </w:tc>
      </w:tr>
    </w:tbl>
    <w:p>
      <w:pPr>
        <w:spacing w:before="120" w:beforeLines="50" w:line="360" w:lineRule="auto"/>
        <w:rPr>
          <w:b/>
          <w:bCs/>
          <w:sz w:val="28"/>
          <w:szCs w:val="28"/>
          <w:lang w:val="en-US"/>
        </w:rPr>
      </w:pPr>
      <w:r>
        <w:rPr>
          <w:rFonts w:hint="eastAsia"/>
          <w:b/>
          <w:bCs/>
          <w:sz w:val="28"/>
          <w:szCs w:val="28"/>
          <w:lang w:val="en-US"/>
        </w:rPr>
        <w:t>注：该部分合计扣分直接在总成绩中扣除。</w:t>
      </w:r>
    </w:p>
    <w:p>
      <w:pPr>
        <w:pStyle w:val="4"/>
        <w:keepNext/>
        <w:keepLines/>
        <w:numPr>
          <w:ilvl w:val="0"/>
          <w:numId w:val="4"/>
        </w:numPr>
        <w:autoSpaceDE/>
        <w:autoSpaceDN/>
        <w:spacing w:line="360" w:lineRule="auto"/>
        <w:ind w:left="0"/>
        <w:jc w:val="both"/>
        <w:rPr>
          <w:rFonts w:ascii="Arial" w:hAnsi="Arial" w:eastAsia="黑体" w:cstheme="minorBidi"/>
          <w:b/>
          <w:kern w:val="2"/>
          <w:sz w:val="24"/>
          <w:szCs w:val="24"/>
          <w:lang w:val="en-US" w:bidi="ar-SA"/>
        </w:rPr>
      </w:pPr>
      <w:bookmarkStart w:id="28" w:name="_Toc4921"/>
      <w:r>
        <w:rPr>
          <w:rFonts w:hint="eastAsia" w:ascii="Arial" w:hAnsi="Arial" w:eastAsia="黑体" w:cstheme="minorBidi"/>
          <w:b/>
          <w:kern w:val="2"/>
          <w:sz w:val="24"/>
          <w:szCs w:val="24"/>
          <w:lang w:val="en-US" w:bidi="ar-SA"/>
        </w:rPr>
        <w:t>成绩评定</w:t>
      </w:r>
      <w:bookmarkEnd w:id="28"/>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成绩评定由裁判委员会根据竞赛评分标准做出评价，评分方法采用过程评分和结果评分相结合的方式。</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1）裁判委员会设总裁判长1名，单项裁判3名。竞赛过程中，每个竞赛工位配1名现场裁判。</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2）竞赛的成绩由现场裁判根据各队的竞赛表现，依据竞赛评分标准评定，由单项裁判长审核确定。</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3）各队所有赛项总成绩由总裁判长汇总、审核。</w:t>
      </w:r>
    </w:p>
    <w:p>
      <w:pPr>
        <w:pStyle w:val="4"/>
        <w:keepNext/>
        <w:keepLines/>
        <w:numPr>
          <w:ilvl w:val="0"/>
          <w:numId w:val="4"/>
        </w:numPr>
        <w:autoSpaceDE/>
        <w:autoSpaceDN/>
        <w:spacing w:line="360" w:lineRule="auto"/>
        <w:ind w:left="0"/>
        <w:jc w:val="both"/>
        <w:rPr>
          <w:rFonts w:ascii="Arial" w:hAnsi="Arial" w:eastAsia="黑体" w:cstheme="minorBidi"/>
          <w:b/>
          <w:kern w:val="2"/>
          <w:sz w:val="24"/>
          <w:szCs w:val="24"/>
          <w:lang w:val="en-US" w:bidi="ar-SA"/>
        </w:rPr>
      </w:pPr>
      <w:bookmarkStart w:id="29" w:name="_Toc16320"/>
      <w:r>
        <w:rPr>
          <w:rFonts w:hint="eastAsia" w:ascii="Arial" w:hAnsi="Arial" w:eastAsia="黑体" w:cstheme="minorBidi"/>
          <w:b/>
          <w:kern w:val="2"/>
          <w:sz w:val="24"/>
          <w:szCs w:val="24"/>
          <w:lang w:val="en-US" w:bidi="ar-SA"/>
        </w:rPr>
        <w:t>成绩公布</w:t>
      </w:r>
      <w:bookmarkEnd w:id="29"/>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1）成绩产生、审核和公布由裁判组和仲裁组按照竞赛制度《成绩管理办法》执行。</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2）各项总成绩汇总后，由总裁判长审核后报赛项组委会审定，张榜公布，公布后1小时内提出申诉，仲裁长负责接受投诉，总裁判长、分项裁判长负责接受咨询。</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30" w:name="_Toc32374"/>
      <w:r>
        <w:rPr>
          <w:rFonts w:hint="eastAsia" w:ascii="黑体" w:hAnsi="黑体" w:eastAsia="黑体" w:cs="黑体"/>
          <w:kern w:val="44"/>
          <w:sz w:val="28"/>
          <w:szCs w:val="28"/>
          <w:lang w:val="en-US" w:bidi="ar-SA"/>
        </w:rPr>
        <w:t>奖项设定</w:t>
      </w:r>
      <w:bookmarkEnd w:id="30"/>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31" w:name="_Toc510013713"/>
      <w:bookmarkStart w:id="32" w:name="_Toc247013131"/>
      <w:r>
        <w:rPr>
          <w:rFonts w:hint="eastAsia" w:ascii="仿宋_GB2312" w:hAnsi="仿宋_GB2312" w:eastAsia="仿宋_GB2312" w:cs="仿宋_GB2312"/>
          <w:bCs/>
          <w:kern w:val="2"/>
          <w:sz w:val="24"/>
          <w:szCs w:val="24"/>
          <w:lang w:val="en-US" w:bidi="ar-SA"/>
        </w:rPr>
        <w:t>1）本赛项只设定团体总成绩奖，不设单项奖和个人奖。</w:t>
      </w:r>
    </w:p>
    <w:bookmarkEnd w:id="31"/>
    <w:bookmarkEnd w:id="32"/>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bookmarkStart w:id="33" w:name="_Toc247013133"/>
      <w:bookmarkStart w:id="34" w:name="_Toc510013714"/>
      <w:r>
        <w:rPr>
          <w:rFonts w:hint="eastAsia" w:ascii="仿宋_GB2312" w:hAnsi="仿宋_GB2312" w:eastAsia="仿宋_GB2312" w:cs="仿宋_GB2312"/>
          <w:bCs/>
          <w:kern w:val="2"/>
          <w:sz w:val="24"/>
          <w:szCs w:val="24"/>
          <w:lang w:val="en-US" w:bidi="ar-SA"/>
        </w:rPr>
        <w:t>2）</w:t>
      </w:r>
      <w:bookmarkEnd w:id="33"/>
      <w:bookmarkEnd w:id="34"/>
      <w:r>
        <w:rPr>
          <w:rFonts w:hint="eastAsia" w:ascii="仿宋_GB2312" w:hAnsi="仿宋_GB2312" w:eastAsia="仿宋_GB2312" w:cs="仿宋_GB2312"/>
          <w:bCs/>
          <w:kern w:val="2"/>
          <w:sz w:val="24"/>
          <w:szCs w:val="24"/>
          <w:lang w:val="en-US" w:bidi="ar-SA"/>
        </w:rPr>
        <w:t>按实际参赛人（队）数的 10%、20%、30%（小数点后四舍五入）分设一、二、三等奖。其他情况按照竞赛规程总则执行。</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35" w:name="_Toc29662"/>
      <w:r>
        <w:rPr>
          <w:rFonts w:hint="eastAsia" w:ascii="黑体" w:hAnsi="黑体" w:eastAsia="黑体" w:cs="黑体"/>
          <w:kern w:val="44"/>
          <w:sz w:val="28"/>
          <w:szCs w:val="28"/>
          <w:lang w:val="en-US" w:bidi="ar-SA"/>
        </w:rPr>
        <w:t>申诉与仲裁</w:t>
      </w:r>
      <w:bookmarkEnd w:id="35"/>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 xml:space="preserve">1）各参赛队对不符合赛项规程规定的仪器、设备、工装、材料、物件、计算机软硬件、竞赛使用工具、用品，竞赛执裁、赛场管理、竞赛成绩，以及工作人员的不规范行为等，可向赛项仲裁组提出申诉，申诉主体为参赛队领队。 </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2）申诉启动时，参赛队向赛项仲裁组递交领队亲笔签字同意的书面报告。书面报告应对申诉事件的现象、发生时间、涉及人员、申诉依据等进行充分、实事求是的叙述。非书面申诉不予受理。</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 xml:space="preserve">3）提出申诉的时间应在比赛结束后(选手赛场比赛内容全部完成)2 小时内。超过时效不予受理。 </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4）赛项仲裁组在接到申诉报告后的 2 小时内组织复议，并及时将复议结果以书面形式告知申诉方。申诉方对复议结果仍有异议，可由领队向比赛监督员提出申诉，由监督员传达最终仲裁结果。</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 xml:space="preserve">5）申诉方不得以任何理由拒绝接收仲裁结果，不得以任何理由采取过激行为扰乱赛场秩序。仲裁结果由申诉人签收，不能代收，如在约定时间和地点申诉人离开，视为自行放弃申诉。 </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6）申诉方可随时提出放弃申诉。</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36" w:name="_Toc17340"/>
      <w:r>
        <w:rPr>
          <w:rFonts w:hint="eastAsia" w:ascii="黑体" w:hAnsi="黑体" w:eastAsia="黑体" w:cs="黑体"/>
          <w:kern w:val="44"/>
          <w:sz w:val="28"/>
          <w:szCs w:val="28"/>
          <w:lang w:val="en-US" w:bidi="ar-SA"/>
        </w:rPr>
        <w:t>赛项安全</w:t>
      </w:r>
      <w:bookmarkEnd w:id="36"/>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37" w:name="_Toc13781"/>
      <w:r>
        <w:rPr>
          <w:rFonts w:hint="eastAsia" w:ascii="Arial" w:hAnsi="Arial" w:eastAsia="黑体" w:cstheme="minorBidi"/>
          <w:b/>
          <w:kern w:val="2"/>
          <w:sz w:val="24"/>
          <w:szCs w:val="24"/>
          <w:lang w:val="en-US" w:bidi="ar-SA"/>
        </w:rPr>
        <w:t>安全保障组织机构</w:t>
      </w:r>
      <w:bookmarkEnd w:id="37"/>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根据《全国职业院校技能大赛安全管理规定》：</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赛项应成立安全管理机构负责本赛项筹备和比赛期间的各项安全工作，赛项执委会主任为第一责任人；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指定1名执委会副主任负责赛场安全。赛项执委会在赛前一周会同当地消防部门、质量监督部门检查赛场消防设施和比赛设备安全性能，并按消防、质监部门意见整改。赛前两天，执委会主任会同赛项专家组对赛场进行验收；</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指定1名执委会副主任负责住宿与饮食安全。执委会会同当地公安部门，食品卫生部门，检查并验收驻地的安全设施和饮食卫生，保证选手的住宿安全和饮食安全；</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4</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各</w:t>
      </w:r>
      <w:r>
        <w:rPr>
          <w:rFonts w:hint="eastAsia" w:ascii="仿宋_GB2312" w:hAnsi="仿宋_GB2312" w:eastAsia="仿宋_GB2312" w:cs="仿宋_GB2312"/>
          <w:bCs/>
          <w:kern w:val="2"/>
          <w:sz w:val="24"/>
          <w:szCs w:val="24"/>
          <w:lang w:val="en-US" w:bidi="ar-SA"/>
        </w:rPr>
        <w:t>院校</w:t>
      </w:r>
      <w:r>
        <w:rPr>
          <w:rFonts w:ascii="仿宋_GB2312" w:hAnsi="仿宋_GB2312" w:eastAsia="仿宋_GB2312" w:cs="仿宋_GB2312"/>
          <w:bCs/>
          <w:kern w:val="2"/>
          <w:sz w:val="24"/>
          <w:szCs w:val="24"/>
          <w:lang w:val="en-US" w:bidi="ar-SA"/>
        </w:rPr>
        <w:t>组织参赛队时，须为参赛选手购买大赛期间的人身意外伤害保险。领队为参赛队交通安全责任人。负责选手从学校出发到结束比赛回到学校整个期间的人身、交通、饮食安全。</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38" w:name="_Toc9371"/>
      <w:r>
        <w:rPr>
          <w:rFonts w:ascii="Arial" w:hAnsi="Arial" w:eastAsia="黑体" w:cstheme="minorBidi"/>
          <w:b/>
          <w:kern w:val="2"/>
          <w:sz w:val="24"/>
          <w:szCs w:val="24"/>
          <w:lang w:val="en-US" w:bidi="ar-SA"/>
        </w:rPr>
        <w:t>选手安全要求</w:t>
      </w:r>
      <w:bookmarkEnd w:id="38"/>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进入赛场，必须穿符合安全要求的服装。不得穿背心、短裤和拖鞋进入竞赛场地；</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严格遵守操作规程，不得擅自开启电源，不得带电操作，以免造成伤害和事故；</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参赛人员应爱护竞赛场所的仪器设备，操作设备时应按规定的操作程序谨慎操作，不得触动非竞赛用仪器设备。操作中若违反安全操作规定导致发生较严重的安全事故，将立即取消竞赛资格；</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4</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进行设备组装和调试时，工具和检测仪器、仪表等应放置在规定的位置，不得摆放在设备和连接的电路上；</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w:t>
      </w:r>
      <w:r>
        <w:rPr>
          <w:rFonts w:ascii="仿宋_GB2312" w:hAnsi="仿宋_GB2312" w:eastAsia="仿宋_GB2312" w:cs="仿宋_GB2312"/>
          <w:bCs/>
          <w:kern w:val="2"/>
          <w:sz w:val="24"/>
          <w:szCs w:val="24"/>
          <w:lang w:val="en-US" w:bidi="ar-SA"/>
        </w:rPr>
        <w:t>竞赛结束时，参赛选手必须清扫、整理工作现场，与赛场工作人员办理终结手续后，方可离开赛场。</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39" w:name="_Toc2694"/>
      <w:r>
        <w:rPr>
          <w:rFonts w:ascii="Arial" w:hAnsi="Arial" w:eastAsia="黑体" w:cstheme="minorBidi"/>
          <w:b/>
          <w:kern w:val="2"/>
          <w:sz w:val="24"/>
          <w:szCs w:val="24"/>
          <w:lang w:val="en-US" w:bidi="ar-SA"/>
        </w:rPr>
        <w:t>安保工作要求</w:t>
      </w:r>
      <w:bookmarkEnd w:id="39"/>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w:t>
      </w:r>
      <w:r>
        <w:rPr>
          <w:rFonts w:ascii="仿宋_GB2312" w:hAnsi="仿宋_GB2312" w:eastAsia="仿宋_GB2312" w:cs="仿宋_GB2312"/>
          <w:bCs/>
          <w:kern w:val="2"/>
          <w:sz w:val="24"/>
          <w:szCs w:val="24"/>
          <w:lang w:val="en-US" w:bidi="ar-SA"/>
        </w:rPr>
        <w:t>指挥员在发生突发事件时要掌握信息，统一布置工作，其他人员不得干扰；</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发生突发事件时，全体安全保卫人员必须服从命令、听从指挥，以大局为重，不得顶撞、拖延或临时逃脱；</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突发事件发生时，全体安全保卫人员要坚守岗位、尽职尽责，在未接到撤岗指令之前，不得离开岗位；</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4</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发现安全隐患或突发事件时，现场人员应立即向保卫组汇报，保卫组接报后要火速到达案发现场，指挥并配合公安干警及安全保卫人员搞好抢救工作；</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5</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视突发事件的具体情况，分别向上级主管部门和相关部门报告，并立即启动《赛区安全保卫突发事件处理预案》；</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6</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发生火警和恶性事件时，现场人员可主动向公安机关报警并向领导汇报，立即组织抢救，以免贻误战机；启用消防应急广播，通知疏散路线，稳定人心，避免踩踏伤人；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7</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安全出口执勤人员，接到指令后立即打开出口门，疏导参赛人员有序撤离现场。</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40" w:name="_Toc32193"/>
      <w:r>
        <w:rPr>
          <w:rFonts w:ascii="Arial" w:hAnsi="Arial" w:eastAsia="黑体" w:cstheme="minorBidi"/>
          <w:b/>
          <w:kern w:val="2"/>
          <w:sz w:val="24"/>
          <w:szCs w:val="24"/>
          <w:lang w:val="en-US" w:bidi="ar-SA"/>
        </w:rPr>
        <w:t>裁判安全要求</w:t>
      </w:r>
      <w:bookmarkEnd w:id="40"/>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参赛选手有故意损坏设备或故意伤害他人或自己的行为时，赛场裁判应立即制止，报告首席裁判，经首席裁判报执委会并经执委会同意后终止该参赛选手比赛资格；</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裁判在执裁过程中如发现选手操作存在安全隐患时应及时制止或采取切断电源等紧急补救措施；</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裁判在执裁过程中发现其他安全隐患应立即通知首席裁判并上报执委会，由执委会采取紧急补救措施。</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41" w:name="_Toc16901"/>
      <w:r>
        <w:rPr>
          <w:rFonts w:ascii="Arial" w:hAnsi="Arial" w:eastAsia="黑体" w:cstheme="minorBidi"/>
          <w:b/>
          <w:kern w:val="2"/>
          <w:sz w:val="24"/>
          <w:szCs w:val="24"/>
          <w:lang w:val="en-US" w:bidi="ar-SA"/>
        </w:rPr>
        <w:t>赛场文明</w:t>
      </w:r>
      <w:bookmarkEnd w:id="41"/>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1</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进入赛场人员要严格服从赛场工作人员的指挥，遵守赛场秩序，服从赛场工作人员的引导和安排。观摩人员要按指定区域观摩，切忌越过设置的警戒线；</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2</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在赛场观摩比赛时。请不要大声喧哗，不要拥挤推搡，以免影响比赛正常进行；</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3</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赛场内严禁吸烟，严禁携带易燃易爆物品入场；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4</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进入赛区的人员请爱护现场各类物品，爱护公共环境，不随意张贴个人资料；</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5</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遇到问题和意外事件时，请及时向现场工作人员寻求帮助；</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6</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发生火灾或突发事件时，要服从赛场服务人员指挥，有序撤离现场，避免慌乱，踩踏伤人；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7</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遇到紧急情况发生拥挤时，应保持镇静，在相对安全地点作短暂停留。人群拥挤时，要双手抱住胸口，防止内脏被挤压受伤。在人群中不小心跌倒时，应立即收缩身体、抱紧头，尽量减少伤害；</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8</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如遇特殊情况，则服从大赛统一指挥；</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9</w:t>
      </w:r>
      <w:r>
        <w:rPr>
          <w:rFonts w:hint="eastAsia" w:ascii="仿宋_GB2312" w:hAnsi="仿宋_GB2312" w:eastAsia="仿宋_GB2312" w:cs="仿宋_GB2312"/>
          <w:bCs/>
          <w:kern w:val="2"/>
          <w:sz w:val="24"/>
          <w:szCs w:val="24"/>
          <w:lang w:val="en-US" w:bidi="ar-SA"/>
        </w:rPr>
        <w:t>）</w:t>
      </w:r>
      <w:r>
        <w:rPr>
          <w:rFonts w:ascii="仿宋_GB2312" w:hAnsi="仿宋_GB2312" w:eastAsia="仿宋_GB2312" w:cs="仿宋_GB2312"/>
          <w:bCs/>
          <w:kern w:val="2"/>
          <w:sz w:val="24"/>
          <w:szCs w:val="24"/>
          <w:lang w:val="en-US" w:bidi="ar-SA"/>
        </w:rPr>
        <w:t>设置突发事件应急疏散示意图。</w:t>
      </w:r>
    </w:p>
    <w:p>
      <w:pPr>
        <w:pStyle w:val="4"/>
        <w:keepNext/>
        <w:keepLines/>
        <w:numPr>
          <w:ilvl w:val="0"/>
          <w:numId w:val="5"/>
        </w:numPr>
        <w:autoSpaceDE/>
        <w:autoSpaceDN/>
        <w:spacing w:line="360" w:lineRule="auto"/>
        <w:ind w:left="0"/>
        <w:jc w:val="both"/>
        <w:rPr>
          <w:rFonts w:ascii="Arial" w:hAnsi="Arial" w:eastAsia="黑体" w:cstheme="minorBidi"/>
          <w:b/>
          <w:kern w:val="2"/>
          <w:sz w:val="24"/>
          <w:szCs w:val="24"/>
          <w:lang w:val="en-US" w:bidi="ar-SA"/>
        </w:rPr>
      </w:pPr>
      <w:bookmarkStart w:id="42" w:name="_Toc13453"/>
      <w:r>
        <w:rPr>
          <w:rFonts w:ascii="Arial" w:hAnsi="Arial" w:eastAsia="黑体" w:cstheme="minorBidi"/>
          <w:b/>
          <w:kern w:val="2"/>
          <w:sz w:val="24"/>
          <w:szCs w:val="24"/>
          <w:lang w:val="en-US" w:bidi="ar-SA"/>
        </w:rPr>
        <w:t>应急处理预案</w:t>
      </w:r>
      <w:bookmarkEnd w:id="42"/>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ascii="仿宋_GB2312" w:hAnsi="仿宋_GB2312" w:eastAsia="仿宋_GB2312" w:cs="仿宋_GB2312"/>
          <w:bCs/>
          <w:kern w:val="2"/>
          <w:sz w:val="24"/>
          <w:szCs w:val="24"/>
          <w:lang w:val="en-US" w:bidi="ar-SA"/>
        </w:rPr>
        <w:t>比赛期间发生意外事故时，发现者应第一时间报告赛项执委会，同时采取措施，避免事态扩大。赛项执委会应立即启动预案予以解决并向赛区执委会报告。出现重大安全问题的赛项可以停赛，是否停赛由赛区组委会决定。事后，赛区执委会应向大赛执委会报告详细情况。</w:t>
      </w:r>
    </w:p>
    <w:p>
      <w:pPr>
        <w:pStyle w:val="3"/>
        <w:keepNext/>
        <w:keepLines/>
        <w:numPr>
          <w:ilvl w:val="0"/>
          <w:numId w:val="1"/>
        </w:numPr>
        <w:autoSpaceDE/>
        <w:autoSpaceDN/>
        <w:spacing w:before="240" w:beforeLines="100" w:after="120" w:afterLines="50" w:line="360" w:lineRule="auto"/>
        <w:ind w:left="0" w:firstLine="0"/>
        <w:jc w:val="both"/>
        <w:rPr>
          <w:rFonts w:ascii="黑体" w:hAnsi="黑体" w:eastAsia="黑体" w:cs="黑体"/>
          <w:kern w:val="44"/>
          <w:sz w:val="28"/>
          <w:szCs w:val="28"/>
          <w:lang w:val="en-US" w:bidi="ar-SA"/>
        </w:rPr>
      </w:pPr>
      <w:bookmarkStart w:id="43" w:name="_Toc13837"/>
      <w:r>
        <w:rPr>
          <w:rFonts w:hint="eastAsia" w:ascii="黑体" w:hAnsi="黑体" w:eastAsia="黑体" w:cs="黑体"/>
          <w:kern w:val="44"/>
          <w:sz w:val="28"/>
          <w:szCs w:val="28"/>
          <w:lang w:val="en-US" w:bidi="ar-SA"/>
        </w:rPr>
        <w:t>其他规定</w:t>
      </w:r>
      <w:bookmarkEnd w:id="43"/>
    </w:p>
    <w:p>
      <w:pPr>
        <w:pStyle w:val="4"/>
        <w:keepNext/>
        <w:keepLines/>
        <w:numPr>
          <w:ilvl w:val="0"/>
          <w:numId w:val="6"/>
        </w:numPr>
        <w:autoSpaceDE/>
        <w:autoSpaceDN/>
        <w:spacing w:line="360" w:lineRule="auto"/>
        <w:ind w:left="0"/>
        <w:jc w:val="both"/>
        <w:rPr>
          <w:rFonts w:ascii="Arial" w:hAnsi="Arial" w:eastAsia="黑体" w:cstheme="minorBidi"/>
          <w:b/>
          <w:kern w:val="2"/>
          <w:sz w:val="24"/>
          <w:szCs w:val="24"/>
          <w:lang w:val="en-US" w:bidi="ar-SA"/>
        </w:rPr>
      </w:pPr>
      <w:bookmarkStart w:id="44" w:name="_Toc10322"/>
      <w:r>
        <w:rPr>
          <w:rFonts w:hint="eastAsia" w:ascii="Arial" w:hAnsi="Arial" w:eastAsia="黑体" w:cstheme="minorBidi"/>
          <w:b/>
          <w:kern w:val="2"/>
          <w:sz w:val="24"/>
          <w:szCs w:val="24"/>
          <w:lang w:val="en-US" w:bidi="ar-SA"/>
        </w:rPr>
        <w:t>参赛队伍须知</w:t>
      </w:r>
      <w:bookmarkEnd w:id="44"/>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1）参赛队员必须为同校在校学生，不得跨校组队，违者取消竞赛资格。</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熟悉竞赛规程和赛项须知，领队负责做好本参赛队竞赛期间的管理工作。参赛队员在报名获得审核确认后，原则上不再更换，如筹备过程中，队员因故不能参赛，须所在省级教育主管部门于相关赛项开赛5个工作日之前出具书面说明，经大赛执委会办公室核实后予以替换；参赛队员注册报到后，不得更换，允许队员缺席竞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3）竞赛前指定一名领队或指导教师抽签，确定竞赛顺序、出场竞赛等。</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4）参赛队按照大赛规程安排凭大赛组委会颁发的参赛证和有效身份证件参加竞赛及相关活动。</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5）参赛队员必须穿着大赛下发的服装。</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6）参赛队统一使用赛场提供的计算机、竞赛设备、设备附件和工具等。</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7）如在竞赛过程中出现特殊情况，由各代表队与现场工作人员协调联系和反映，不得以任何理由中断竞赛或中途带选手退场。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8）各参赛队必须按操作规程要求竞赛，在竞赛过程中不按操作要求，出现人为损坏赛项提供的设备情况，由参赛队照价赔偿。</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9）本竞赛项目的解释权归赛项执委会。</w:t>
      </w:r>
    </w:p>
    <w:p>
      <w:pPr>
        <w:pStyle w:val="4"/>
        <w:keepNext/>
        <w:keepLines/>
        <w:numPr>
          <w:ilvl w:val="0"/>
          <w:numId w:val="6"/>
        </w:numPr>
        <w:autoSpaceDE/>
        <w:autoSpaceDN/>
        <w:spacing w:line="360" w:lineRule="auto"/>
        <w:ind w:left="0"/>
        <w:jc w:val="both"/>
        <w:rPr>
          <w:rFonts w:ascii="Arial" w:hAnsi="Arial" w:eastAsia="黑体" w:cstheme="minorBidi"/>
          <w:b/>
          <w:kern w:val="2"/>
          <w:sz w:val="24"/>
          <w:szCs w:val="24"/>
          <w:lang w:val="en-US" w:bidi="ar-SA"/>
        </w:rPr>
      </w:pPr>
      <w:bookmarkStart w:id="45" w:name="_Toc15187"/>
      <w:r>
        <w:rPr>
          <w:rFonts w:hint="eastAsia" w:ascii="Arial" w:hAnsi="Arial" w:eastAsia="黑体" w:cstheme="minorBidi"/>
          <w:b/>
          <w:kern w:val="2"/>
          <w:sz w:val="24"/>
          <w:szCs w:val="24"/>
          <w:lang w:val="en-US" w:bidi="ar-SA"/>
        </w:rPr>
        <w:t>指导教师须知</w:t>
      </w:r>
      <w:bookmarkEnd w:id="45"/>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1）每个参赛队最多可配指导教师2名，指导教师经报名、审核后确定，一经确定不得更换，允许指导教师缺席竞赛。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2）严格遵守赛场规章制度。竞赛过程中不得进入竞赛现场。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3）按时参加赛区组织的相关会议，并及时向队员传达会议精神。</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4）指导教师要做好本队参赛选手的有关组织工作，督促选手按组委会制定时间和地点报到；做好选手的后勤保障、安全工作。自觉维护赛场秩序。</w:t>
      </w:r>
    </w:p>
    <w:p>
      <w:pPr>
        <w:pStyle w:val="4"/>
        <w:keepNext/>
        <w:keepLines/>
        <w:numPr>
          <w:ilvl w:val="0"/>
          <w:numId w:val="6"/>
        </w:numPr>
        <w:autoSpaceDE/>
        <w:autoSpaceDN/>
        <w:spacing w:line="360" w:lineRule="auto"/>
        <w:ind w:left="0"/>
        <w:jc w:val="both"/>
        <w:rPr>
          <w:rFonts w:ascii="Arial" w:hAnsi="Arial" w:eastAsia="黑体" w:cstheme="minorBidi"/>
          <w:b/>
          <w:kern w:val="2"/>
          <w:sz w:val="24"/>
          <w:szCs w:val="24"/>
          <w:lang w:val="en-US" w:bidi="ar-SA"/>
        </w:rPr>
      </w:pPr>
      <w:bookmarkStart w:id="46" w:name="_Toc7250"/>
      <w:r>
        <w:rPr>
          <w:rFonts w:hint="eastAsia" w:ascii="Arial" w:hAnsi="Arial" w:eastAsia="黑体" w:cstheme="minorBidi"/>
          <w:b/>
          <w:kern w:val="2"/>
          <w:sz w:val="24"/>
          <w:szCs w:val="24"/>
          <w:lang w:val="en-US" w:bidi="ar-SA"/>
        </w:rPr>
        <w:t>参赛选手须知</w:t>
      </w:r>
      <w:bookmarkEnd w:id="46"/>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1）参赛选手应严格遵守赛场规章、操作规程，保证人身及设备安全，接受裁判员的监督和警示，文明竞赛。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2）选手在赛场内应始终佩带参赛凭证。</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3）参赛队员应自觉遵守赛场纪律，服从裁判、听从指挥、文明竞赛。禁止将通讯工具带入赛场。</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4）竞赛准备阶段时，各参赛队自行决定分工、工作程序和时间安排，在指定赛位上完成竞赛准备工作。</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5）竞赛过程中，因严重操作失误或安全事故不能进行竞赛的（例如测绘仪器出现摔坏等），现场裁判员有权中止该队竞赛。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6）在竞赛过程中，参赛选手不得故意干扰其他队的竞赛。</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7）参赛选手按竞赛规定进行观测、记录的轮换。</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8）选手在收到开赛信号前不得开始操作，上交成果时，队长应与分项裁判长共同在任务完成确认表上签字，竞赛计时结束。</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9）在竞赛中因非人为因素造成的设备故障，经仪器检修工程师确认、经裁判确认后，可向裁判长申请重测或补足排除故障的时间。</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10）选手必须参加赛项执委会组织的座谈、报告会等活动。</w:t>
      </w:r>
    </w:p>
    <w:p>
      <w:pPr>
        <w:pStyle w:val="4"/>
        <w:keepNext/>
        <w:keepLines/>
        <w:numPr>
          <w:ilvl w:val="0"/>
          <w:numId w:val="6"/>
        </w:numPr>
        <w:autoSpaceDE/>
        <w:autoSpaceDN/>
        <w:spacing w:line="360" w:lineRule="auto"/>
        <w:ind w:left="0"/>
        <w:jc w:val="both"/>
        <w:rPr>
          <w:rFonts w:ascii="Arial" w:hAnsi="Arial" w:eastAsia="黑体" w:cstheme="minorBidi"/>
          <w:b/>
          <w:kern w:val="2"/>
          <w:sz w:val="24"/>
          <w:szCs w:val="24"/>
          <w:lang w:val="en-US" w:bidi="ar-SA"/>
        </w:rPr>
      </w:pPr>
      <w:bookmarkStart w:id="47" w:name="_Toc25854"/>
      <w:r>
        <w:rPr>
          <w:rFonts w:hint="eastAsia" w:ascii="Arial" w:hAnsi="Arial" w:eastAsia="黑体" w:cstheme="minorBidi"/>
          <w:b/>
          <w:kern w:val="2"/>
          <w:sz w:val="24"/>
          <w:szCs w:val="24"/>
          <w:lang w:val="en-US" w:bidi="ar-SA"/>
        </w:rPr>
        <w:t>工作人员须知</w:t>
      </w:r>
      <w:bookmarkEnd w:id="47"/>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1）树立服务观念，一切为选手着想，以高度负责的精神、严肃认真的态度和严谨细致的作风，积极完成本职任务。</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2）注意文明礼貌，保持良好形象，熟悉竞赛指南。</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3）赛前30分钟到达赛场，严守工作岗位，不迟到，不早退，不无故离岗，特殊情况需向赛区赛项执委会办公室主任请假。</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4）熟悉竞赛规程，严格按照工作程序和有关规定办事，遇突发事件，按照安全工作预案，组织指挥人员疏散，确保人员安全。</w:t>
      </w:r>
    </w:p>
    <w:p>
      <w:pPr>
        <w:autoSpaceDE/>
        <w:autoSpaceDN/>
        <w:spacing w:line="360" w:lineRule="auto"/>
        <w:ind w:firstLine="480" w:firstLineChars="200"/>
        <w:jc w:val="both"/>
        <w:rPr>
          <w:rFonts w:ascii="仿宋_GB2312" w:hAnsi="仿宋_GB2312" w:eastAsia="仿宋_GB2312" w:cs="仿宋_GB2312"/>
          <w:bCs/>
          <w:kern w:val="2"/>
          <w:sz w:val="24"/>
          <w:szCs w:val="24"/>
          <w:lang w:val="en-US" w:bidi="ar-SA"/>
        </w:rPr>
      </w:pPr>
      <w:r>
        <w:rPr>
          <w:rFonts w:hint="eastAsia" w:ascii="仿宋_GB2312" w:hAnsi="仿宋_GB2312" w:eastAsia="仿宋_GB2312" w:cs="仿宋_GB2312"/>
          <w:bCs/>
          <w:kern w:val="2"/>
          <w:sz w:val="24"/>
          <w:szCs w:val="24"/>
          <w:lang w:val="en-US" w:bidi="ar-SA"/>
        </w:rPr>
        <w:t>5）保持通信畅通，服从统一领导，严格遵守竞赛纪律，加强协作配合，提高工作效率。</w:t>
      </w:r>
    </w:p>
    <w:sectPr>
      <w:footerReference r:id="rId5" w:type="default"/>
      <w:pgSz w:w="11900" w:h="16840"/>
      <w:pgMar w:top="1440" w:right="1080" w:bottom="1440" w:left="1080" w:header="0" w:footer="1172"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0" w:line="14" w:lineRule="auto"/>
      <w:ind w:left="0"/>
      <w:rPr>
        <w:sz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0" w:line="14" w:lineRule="auto"/>
      <w:ind w:left="0"/>
      <w:rPr>
        <w:sz w:val="17"/>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3787140</wp:posOffset>
              </wp:positionH>
              <wp:positionV relativeFrom="page">
                <wp:posOffset>9789160</wp:posOffset>
              </wp:positionV>
              <wp:extent cx="166370" cy="1524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wps:txbx>
                    <wps:bodyPr lIns="0" tIns="0" rIns="0" bIns="0" upright="1"/>
                  </wps:wsp>
                </a:graphicData>
              </a:graphic>
            </wp:anchor>
          </w:drawing>
        </mc:Choice>
        <mc:Fallback>
          <w:pict>
            <v:shape id="文本框 1026" o:spid="_x0000_s1026" o:spt="202" type="#_x0000_t202" style="position:absolute;left:0pt;margin-left:298.2pt;margin-top:770.8pt;height:12pt;width:13.1pt;mso-position-horizontal-relative:page;mso-position-vertical-relative:page;z-index:-251657216;mso-width-relative:page;mso-height-relative:page;" filled="f" stroked="f" coordsize="21600,21600" o:gfxdata="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Y9CRvaAAAADQEAAA8AAAAAAAAAAQAgAAAAIgAAAGRycy9kb3ducmV2LnhtbFBL&#10;AQIUABQAAAAIAIdO4kBBdR2luwEAAHQDAAAOAAAAAAAAAAEAIAAAACkBAABkcnMvZTJvRG9jLnht&#10;bFBLBQYAAAAABgAGAFkBAABW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lang w:val="en-US"/>
      </w:rPr>
    </w:pPr>
  </w:p>
  <w:p>
    <w:pPr>
      <w:pStyle w:val="11"/>
      <w:jc w:val="right"/>
      <w:rPr>
        <w:lang w:val="en-US"/>
      </w:rPr>
    </w:pPr>
  </w:p>
  <w:p>
    <w:pPr>
      <w:pStyle w:val="11"/>
      <w:jc w:val="right"/>
      <w:rPr>
        <w:lang w:val="en-US"/>
      </w:rPr>
    </w:pPr>
  </w:p>
  <w:p>
    <w:pPr>
      <w:pStyle w:val="11"/>
      <w:jc w:val="right"/>
      <w:rPr>
        <w:lang w:val="en-US"/>
      </w:rPr>
    </w:pPr>
    <w:r>
      <w:rPr>
        <w:rFonts w:hint="eastAsia"/>
        <w:lang w:val="en-US"/>
      </w:rPr>
      <w:t>202</w:t>
    </w:r>
    <w:r>
      <w:rPr>
        <w:lang w:val="en-US"/>
      </w:rPr>
      <w:t>4</w:t>
    </w:r>
    <w:r>
      <w:rPr>
        <w:rFonts w:hint="eastAsia"/>
        <w:lang w:val="en-US"/>
      </w:rPr>
      <w:t>年兰州市职业院校技能大赛中职学生组土木工程无损检测赛项竞赛规程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034842"/>
    <w:multiLevelType w:val="singleLevel"/>
    <w:tmpl w:val="C2034842"/>
    <w:lvl w:ilvl="0" w:tentative="0">
      <w:start w:val="1"/>
      <w:numFmt w:val="chineseCounting"/>
      <w:suff w:val="nothing"/>
      <w:lvlText w:val="%1、"/>
      <w:lvlJc w:val="left"/>
      <w:rPr>
        <w:rFonts w:hint="eastAsia"/>
      </w:rPr>
    </w:lvl>
  </w:abstractNum>
  <w:abstractNum w:abstractNumId="1">
    <w:nsid w:val="D87B08DA"/>
    <w:multiLevelType w:val="singleLevel"/>
    <w:tmpl w:val="D87B08DA"/>
    <w:lvl w:ilvl="0" w:tentative="0">
      <w:start w:val="1"/>
      <w:numFmt w:val="chineseCounting"/>
      <w:suff w:val="nothing"/>
      <w:lvlText w:val="（%1）"/>
      <w:lvlJc w:val="left"/>
      <w:rPr>
        <w:rFonts w:hint="eastAsia"/>
      </w:rPr>
    </w:lvl>
  </w:abstractNum>
  <w:abstractNum w:abstractNumId="2">
    <w:nsid w:val="DA1F30A0"/>
    <w:multiLevelType w:val="singleLevel"/>
    <w:tmpl w:val="DA1F30A0"/>
    <w:lvl w:ilvl="0" w:tentative="0">
      <w:start w:val="1"/>
      <w:numFmt w:val="chineseCounting"/>
      <w:suff w:val="nothing"/>
      <w:lvlText w:val="（%1）"/>
      <w:lvlJc w:val="left"/>
      <w:rPr>
        <w:rFonts w:hint="eastAsia"/>
      </w:rPr>
    </w:lvl>
  </w:abstractNum>
  <w:abstractNum w:abstractNumId="3">
    <w:nsid w:val="F1E14026"/>
    <w:multiLevelType w:val="singleLevel"/>
    <w:tmpl w:val="F1E14026"/>
    <w:lvl w:ilvl="0" w:tentative="0">
      <w:start w:val="1"/>
      <w:numFmt w:val="chineseCounting"/>
      <w:suff w:val="nothing"/>
      <w:lvlText w:val="（%1）"/>
      <w:lvlJc w:val="left"/>
      <w:rPr>
        <w:rFonts w:hint="eastAsia"/>
      </w:rPr>
    </w:lvl>
  </w:abstractNum>
  <w:abstractNum w:abstractNumId="4">
    <w:nsid w:val="F76E2F05"/>
    <w:multiLevelType w:val="singleLevel"/>
    <w:tmpl w:val="F76E2F05"/>
    <w:lvl w:ilvl="0" w:tentative="0">
      <w:start w:val="1"/>
      <w:numFmt w:val="chineseCounting"/>
      <w:suff w:val="nothing"/>
      <w:lvlText w:val="（%1）"/>
      <w:lvlJc w:val="left"/>
      <w:rPr>
        <w:rFonts w:hint="eastAsia"/>
      </w:rPr>
    </w:lvl>
  </w:abstractNum>
  <w:abstractNum w:abstractNumId="5">
    <w:nsid w:val="7544FC7B"/>
    <w:multiLevelType w:val="singleLevel"/>
    <w:tmpl w:val="7544FC7B"/>
    <w:lvl w:ilvl="0" w:tentative="0">
      <w:start w:val="1"/>
      <w:numFmt w:val="chineseCounting"/>
      <w:suff w:val="nothing"/>
      <w:lvlText w:val="（%1）"/>
      <w:lvlJc w:val="left"/>
      <w:rPr>
        <w:rFonts w:hint="eastAsia"/>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4NGJhYmI3ZWE5NDQ3OGRiN2YzNGRhNDQyZDMwMTkifQ=="/>
  </w:docVars>
  <w:rsids>
    <w:rsidRoot w:val="00E92B08"/>
    <w:rsid w:val="0000727E"/>
    <w:rsid w:val="000B2F53"/>
    <w:rsid w:val="000F0D2F"/>
    <w:rsid w:val="000F4BD5"/>
    <w:rsid w:val="00105B89"/>
    <w:rsid w:val="00141821"/>
    <w:rsid w:val="00146832"/>
    <w:rsid w:val="0016209A"/>
    <w:rsid w:val="001B2C03"/>
    <w:rsid w:val="002C4DBA"/>
    <w:rsid w:val="00343835"/>
    <w:rsid w:val="003545E4"/>
    <w:rsid w:val="00362BC2"/>
    <w:rsid w:val="003679C0"/>
    <w:rsid w:val="00384CA1"/>
    <w:rsid w:val="003D53FA"/>
    <w:rsid w:val="004A66EF"/>
    <w:rsid w:val="004D7EE6"/>
    <w:rsid w:val="005306CC"/>
    <w:rsid w:val="00587E98"/>
    <w:rsid w:val="00590497"/>
    <w:rsid w:val="005D1E30"/>
    <w:rsid w:val="00602CE4"/>
    <w:rsid w:val="00682255"/>
    <w:rsid w:val="006A67E3"/>
    <w:rsid w:val="006E5E4D"/>
    <w:rsid w:val="00756E3E"/>
    <w:rsid w:val="00771E56"/>
    <w:rsid w:val="0081130A"/>
    <w:rsid w:val="00814961"/>
    <w:rsid w:val="00892348"/>
    <w:rsid w:val="008B694F"/>
    <w:rsid w:val="008E233D"/>
    <w:rsid w:val="00960716"/>
    <w:rsid w:val="009B722E"/>
    <w:rsid w:val="009D77F8"/>
    <w:rsid w:val="009E2733"/>
    <w:rsid w:val="00A10826"/>
    <w:rsid w:val="00A3659F"/>
    <w:rsid w:val="00A961DF"/>
    <w:rsid w:val="00B04254"/>
    <w:rsid w:val="00C1037E"/>
    <w:rsid w:val="00C12723"/>
    <w:rsid w:val="00C231AB"/>
    <w:rsid w:val="00DE4957"/>
    <w:rsid w:val="00E069B2"/>
    <w:rsid w:val="00E41C53"/>
    <w:rsid w:val="00E84D18"/>
    <w:rsid w:val="00E92B08"/>
    <w:rsid w:val="00EA5B25"/>
    <w:rsid w:val="00EF6037"/>
    <w:rsid w:val="00EF6B4D"/>
    <w:rsid w:val="00F864D5"/>
    <w:rsid w:val="00FB155A"/>
    <w:rsid w:val="00FD549F"/>
    <w:rsid w:val="01A26771"/>
    <w:rsid w:val="05940AC6"/>
    <w:rsid w:val="06355342"/>
    <w:rsid w:val="06531E9E"/>
    <w:rsid w:val="0709579E"/>
    <w:rsid w:val="09403284"/>
    <w:rsid w:val="09CF6571"/>
    <w:rsid w:val="0C042D62"/>
    <w:rsid w:val="10DD77C5"/>
    <w:rsid w:val="17125CEF"/>
    <w:rsid w:val="205938D7"/>
    <w:rsid w:val="22BF019E"/>
    <w:rsid w:val="25580CAE"/>
    <w:rsid w:val="25720C5B"/>
    <w:rsid w:val="25CD442D"/>
    <w:rsid w:val="26BD3B23"/>
    <w:rsid w:val="298D47F5"/>
    <w:rsid w:val="2C057779"/>
    <w:rsid w:val="2E915F13"/>
    <w:rsid w:val="33F713D6"/>
    <w:rsid w:val="34FE0943"/>
    <w:rsid w:val="362D1A8A"/>
    <w:rsid w:val="38D8439C"/>
    <w:rsid w:val="39E62997"/>
    <w:rsid w:val="3C433C04"/>
    <w:rsid w:val="3F461C0E"/>
    <w:rsid w:val="41754DE9"/>
    <w:rsid w:val="43274E06"/>
    <w:rsid w:val="45905EAD"/>
    <w:rsid w:val="4A6A165B"/>
    <w:rsid w:val="4E467A51"/>
    <w:rsid w:val="50AD1551"/>
    <w:rsid w:val="561641AD"/>
    <w:rsid w:val="565A16FE"/>
    <w:rsid w:val="574A2360"/>
    <w:rsid w:val="59284A4C"/>
    <w:rsid w:val="5BC55767"/>
    <w:rsid w:val="5CB52885"/>
    <w:rsid w:val="5FBF6FC4"/>
    <w:rsid w:val="66014531"/>
    <w:rsid w:val="6759670F"/>
    <w:rsid w:val="681D13CB"/>
    <w:rsid w:val="6B84400B"/>
    <w:rsid w:val="6BE446D9"/>
    <w:rsid w:val="6D4A6724"/>
    <w:rsid w:val="6E990871"/>
    <w:rsid w:val="72031631"/>
    <w:rsid w:val="747800B5"/>
    <w:rsid w:val="7581743D"/>
    <w:rsid w:val="7840538D"/>
    <w:rsid w:val="78C35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楷体" w:hAnsi="楷体" w:eastAsia="楷体" w:cs="楷体"/>
      <w:sz w:val="22"/>
      <w:szCs w:val="22"/>
      <w:lang w:val="zh-CN" w:eastAsia="zh-CN" w:bidi="zh-CN"/>
    </w:rPr>
  </w:style>
  <w:style w:type="paragraph" w:styleId="3">
    <w:name w:val="heading 1"/>
    <w:basedOn w:val="1"/>
    <w:next w:val="1"/>
    <w:qFormat/>
    <w:uiPriority w:val="1"/>
    <w:pPr>
      <w:spacing w:before="153"/>
      <w:ind w:left="398" w:hanging="239"/>
      <w:outlineLvl w:val="0"/>
    </w:pPr>
    <w:rPr>
      <w:b/>
      <w:bCs/>
      <w:sz w:val="30"/>
      <w:szCs w:val="30"/>
    </w:rPr>
  </w:style>
  <w:style w:type="paragraph" w:styleId="4">
    <w:name w:val="heading 2"/>
    <w:basedOn w:val="1"/>
    <w:next w:val="1"/>
    <w:qFormat/>
    <w:uiPriority w:val="1"/>
    <w:pPr>
      <w:spacing w:before="174"/>
      <w:ind w:left="398"/>
      <w:outlineLvl w:val="1"/>
    </w:pPr>
    <w:rPr>
      <w:sz w:val="30"/>
      <w:szCs w:val="30"/>
    </w:rPr>
  </w:style>
  <w:style w:type="paragraph" w:styleId="5">
    <w:name w:val="heading 3"/>
    <w:basedOn w:val="1"/>
    <w:next w:val="1"/>
    <w:qFormat/>
    <w:uiPriority w:val="1"/>
    <w:pPr>
      <w:spacing w:before="200"/>
      <w:ind w:left="998"/>
      <w:outlineLvl w:val="2"/>
    </w:pPr>
    <w:rPr>
      <w:b/>
      <w:bCs/>
      <w:sz w:val="28"/>
      <w:szCs w:val="28"/>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Style1"/>
    <w:basedOn w:val="1"/>
    <w:qFormat/>
    <w:uiPriority w:val="0"/>
    <w:pPr>
      <w:widowControl/>
      <w:tabs>
        <w:tab w:val="left" w:pos="-720"/>
      </w:tabs>
      <w:spacing w:after="120"/>
    </w:pPr>
    <w:rPr>
      <w:spacing w:val="-3"/>
      <w:sz w:val="24"/>
      <w:lang w:val="en-AU" w:eastAsia="en-US"/>
    </w:rPr>
  </w:style>
  <w:style w:type="paragraph" w:styleId="6">
    <w:name w:val="Normal Indent"/>
    <w:basedOn w:val="1"/>
    <w:semiHidden/>
    <w:qFormat/>
    <w:uiPriority w:val="0"/>
    <w:pPr>
      <w:ind w:firstLine="420"/>
    </w:pPr>
    <w:rPr>
      <w:szCs w:val="20"/>
    </w:rPr>
  </w:style>
  <w:style w:type="paragraph" w:styleId="7">
    <w:name w:val="Body Text"/>
    <w:basedOn w:val="1"/>
    <w:qFormat/>
    <w:uiPriority w:val="1"/>
    <w:pPr>
      <w:spacing w:before="200"/>
      <w:ind w:left="398"/>
    </w:pPr>
    <w:rPr>
      <w:sz w:val="28"/>
      <w:szCs w:val="28"/>
    </w:rPr>
  </w:style>
  <w:style w:type="paragraph" w:styleId="8">
    <w:name w:val="toc 3"/>
    <w:basedOn w:val="1"/>
    <w:next w:val="1"/>
    <w:qFormat/>
    <w:uiPriority w:val="0"/>
    <w:pPr>
      <w:ind w:left="840" w:leftChars="400"/>
    </w:pPr>
  </w:style>
  <w:style w:type="paragraph" w:styleId="9">
    <w:name w:val="Balloon Text"/>
    <w:basedOn w:val="1"/>
    <w:link w:val="26"/>
    <w:qFormat/>
    <w:uiPriority w:val="0"/>
    <w:rPr>
      <w:sz w:val="18"/>
      <w:szCs w:val="18"/>
    </w:rPr>
  </w:style>
  <w:style w:type="paragraph" w:styleId="10">
    <w:name w:val="footer"/>
    <w:basedOn w:val="1"/>
    <w:link w:val="22"/>
    <w:qFormat/>
    <w:uiPriority w:val="0"/>
    <w:pPr>
      <w:tabs>
        <w:tab w:val="center" w:pos="4153"/>
        <w:tab w:val="right" w:pos="8306"/>
      </w:tabs>
      <w:snapToGrid w:val="0"/>
    </w:pPr>
    <w:rPr>
      <w:sz w:val="18"/>
      <w:szCs w:val="18"/>
    </w:r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Table Normal"/>
    <w:unhideWhenUsed/>
    <w:qFormat/>
    <w:uiPriority w:val="2"/>
    <w:tblPr>
      <w:tblCellMar>
        <w:top w:w="0" w:type="dxa"/>
        <w:left w:w="0" w:type="dxa"/>
        <w:bottom w:w="0" w:type="dxa"/>
        <w:right w:w="0" w:type="dxa"/>
      </w:tblCellMar>
    </w:tblPr>
  </w:style>
  <w:style w:type="paragraph" w:customStyle="1" w:styleId="18">
    <w:name w:val="列表段落1"/>
    <w:basedOn w:val="1"/>
    <w:qFormat/>
    <w:uiPriority w:val="1"/>
    <w:pPr>
      <w:spacing w:before="200"/>
      <w:ind w:left="398" w:hanging="284"/>
    </w:pPr>
  </w:style>
  <w:style w:type="paragraph" w:customStyle="1" w:styleId="19">
    <w:name w:val="Table Paragraph"/>
    <w:basedOn w:val="1"/>
    <w:qFormat/>
    <w:uiPriority w:val="1"/>
  </w:style>
  <w:style w:type="paragraph" w:styleId="20">
    <w:name w:val="List Paragraph"/>
    <w:basedOn w:val="1"/>
    <w:qFormat/>
    <w:uiPriority w:val="99"/>
    <w:pPr>
      <w:ind w:firstLine="420" w:firstLineChars="200"/>
    </w:pPr>
  </w:style>
  <w:style w:type="character" w:customStyle="1" w:styleId="21">
    <w:name w:val="页眉 字符"/>
    <w:basedOn w:val="16"/>
    <w:link w:val="11"/>
    <w:qFormat/>
    <w:uiPriority w:val="0"/>
    <w:rPr>
      <w:rFonts w:ascii="楷体" w:hAnsi="楷体" w:eastAsia="楷体" w:cs="楷体"/>
      <w:sz w:val="18"/>
      <w:szCs w:val="18"/>
      <w:lang w:val="zh-CN" w:bidi="zh-CN"/>
    </w:rPr>
  </w:style>
  <w:style w:type="character" w:customStyle="1" w:styleId="22">
    <w:name w:val="页脚 字符"/>
    <w:basedOn w:val="16"/>
    <w:link w:val="10"/>
    <w:qFormat/>
    <w:uiPriority w:val="0"/>
    <w:rPr>
      <w:rFonts w:ascii="楷体" w:hAnsi="楷体" w:eastAsia="楷体" w:cs="楷体"/>
      <w:sz w:val="18"/>
      <w:szCs w:val="18"/>
      <w:lang w:val="zh-CN" w:bidi="zh-CN"/>
    </w:rPr>
  </w:style>
  <w:style w:type="paragraph" w:customStyle="1" w:styleId="23">
    <w:name w:val="WPSOffice手动目录 1"/>
    <w:qFormat/>
    <w:uiPriority w:val="0"/>
    <w:rPr>
      <w:rFonts w:asciiTheme="minorHAnsi" w:hAnsiTheme="minorHAnsi" w:eastAsiaTheme="minorEastAsia" w:cstheme="minorBidi"/>
      <w:lang w:val="en-US" w:eastAsia="zh-CN" w:bidi="ar-SA"/>
    </w:rPr>
  </w:style>
  <w:style w:type="paragraph" w:customStyle="1" w:styleId="24">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5">
    <w:name w:val="WPSOffice手动目录 3"/>
    <w:qFormat/>
    <w:uiPriority w:val="0"/>
    <w:pPr>
      <w:ind w:left="400" w:leftChars="400"/>
    </w:pPr>
    <w:rPr>
      <w:rFonts w:asciiTheme="minorHAnsi" w:hAnsiTheme="minorHAnsi" w:eastAsiaTheme="minorEastAsia" w:cstheme="minorBidi"/>
      <w:lang w:val="en-US" w:eastAsia="zh-CN" w:bidi="ar-SA"/>
    </w:rPr>
  </w:style>
  <w:style w:type="character" w:customStyle="1" w:styleId="26">
    <w:name w:val="批注框文本 字符"/>
    <w:basedOn w:val="16"/>
    <w:link w:val="9"/>
    <w:qFormat/>
    <w:uiPriority w:val="0"/>
    <w:rPr>
      <w:rFonts w:ascii="楷体" w:hAnsi="楷体" w:eastAsia="楷体" w:cs="楷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7745</Words>
  <Characters>2295</Characters>
  <Lines>19</Lines>
  <Paragraphs>20</Paragraphs>
  <TotalTime>57</TotalTime>
  <ScaleCrop>false</ScaleCrop>
  <LinksUpToDate>false</LinksUpToDate>
  <CharactersWithSpaces>10020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2021-03-18T01:41:00Z</dcterms:created>
  <dc:creator>hp</dc:creator>
  <cp:lastModifiedBy>四季奶青不要糖（努力工作版）</cp:lastModifiedBy>
  <dcterms:modified xsi:type="dcterms:W3CDTF">2023-10-25T08:46:42Z</dcterms:modified>
  <dc:title>2018测绘赛项规程</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2018-04-14T00:00:00Z</vt:filetime>
  </property>
  <property fmtid="{D5CDD505-2E9C-101B-9397-08002B2CF9AE}" pid="3" name="Creator">
    <vt:lpwstr>pdfFactory Pro www.pdffactory.com</vt:lpwstr>
  </property>
  <property fmtid="{D5CDD505-2E9C-101B-9397-08002B2CF9AE}" pid="4" name="LastSaved">
    <vt:filetime>2021-03-13T00:00:00Z</vt:filetime>
  </property>
  <property fmtid="{D5CDD505-2E9C-101B-9397-08002B2CF9AE}" pid="5" name="KSOProductBuildVer">
    <vt:lpwstr>2052-12.1.0.15712</vt:lpwstr>
  </property>
  <property fmtid="{D5CDD505-2E9C-101B-9397-08002B2CF9AE}" pid="6" name="ICV">
    <vt:lpwstr>97E15972CE564CEE9B143EAF6DCE1764</vt:lpwstr>
  </property>
</Properties>
</file>