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beforeAutospacing="0" w:afterAutospacing="0" w:line="560" w:lineRule="exact"/>
        <w:jc w:val="center"/>
        <w:rPr>
          <w:rFonts w:hint="eastAsia" w:ascii="黑体" w:hAnsi="黑体" w:eastAsia="黑体"/>
          <w:b/>
          <w:bCs/>
          <w:kern w:val="0"/>
          <w:sz w:val="36"/>
          <w:szCs w:val="36"/>
        </w:rPr>
      </w:pPr>
      <w:r>
        <w:rPr>
          <w:rFonts w:hint="eastAsia" w:ascii="黑体" w:hAnsi="黑体" w:eastAsia="黑体"/>
          <w:b/>
          <w:bCs/>
          <w:kern w:val="0"/>
          <w:sz w:val="36"/>
          <w:szCs w:val="36"/>
        </w:rPr>
        <w:t>202</w:t>
      </w:r>
      <w:r>
        <w:rPr>
          <w:rFonts w:hint="eastAsia" w:ascii="黑体" w:hAnsi="黑体" w:eastAsia="黑体"/>
          <w:b/>
          <w:bCs/>
          <w:kern w:val="0"/>
          <w:sz w:val="36"/>
          <w:szCs w:val="36"/>
          <w:lang w:val="en-US" w:eastAsia="zh-CN"/>
        </w:rPr>
        <w:t>4</w:t>
      </w:r>
      <w:r>
        <w:rPr>
          <w:rFonts w:hint="eastAsia" w:ascii="黑体" w:hAnsi="黑体" w:eastAsia="黑体"/>
          <w:b/>
          <w:bCs/>
          <w:kern w:val="0"/>
          <w:sz w:val="36"/>
          <w:szCs w:val="36"/>
        </w:rPr>
        <w:t>年兰州市中等职业学校技能大赛</w:t>
      </w:r>
    </w:p>
    <w:p>
      <w:pPr>
        <w:widowControl/>
        <w:snapToGrid w:val="0"/>
        <w:spacing w:beforeAutospacing="0" w:afterAutospacing="0" w:line="560" w:lineRule="exact"/>
        <w:jc w:val="center"/>
        <w:rPr>
          <w:rFonts w:hint="eastAsia" w:ascii="黑体" w:hAnsi="黑体" w:eastAsia="黑体"/>
          <w:b/>
          <w:bCs/>
          <w:kern w:val="0"/>
          <w:sz w:val="36"/>
          <w:szCs w:val="36"/>
        </w:rPr>
      </w:pPr>
      <w:r>
        <w:rPr>
          <w:rFonts w:hint="eastAsia" w:ascii="黑体" w:hAnsi="黑体" w:eastAsia="黑体"/>
          <w:b/>
          <w:bCs/>
          <w:kern w:val="0"/>
          <w:sz w:val="36"/>
          <w:szCs w:val="36"/>
        </w:rPr>
        <w:t>电子</w:t>
      </w:r>
      <w:r>
        <w:rPr>
          <w:rFonts w:hint="eastAsia" w:ascii="黑体" w:hAnsi="黑体" w:eastAsia="黑体"/>
          <w:b/>
          <w:bCs/>
          <w:kern w:val="0"/>
          <w:sz w:val="36"/>
          <w:szCs w:val="36"/>
          <w:lang w:val="en-US" w:eastAsia="zh-CN"/>
        </w:rPr>
        <w:t>产品设计与应用赛项</w:t>
      </w:r>
      <w:r>
        <w:rPr>
          <w:rFonts w:hint="eastAsia" w:ascii="黑体" w:hAnsi="黑体" w:eastAsia="黑体"/>
          <w:b/>
          <w:bCs/>
          <w:kern w:val="0"/>
          <w:sz w:val="36"/>
          <w:szCs w:val="36"/>
        </w:rPr>
        <w:t>竞赛规程</w:t>
      </w:r>
    </w:p>
    <w:p>
      <w:pPr>
        <w:keepNext w:val="0"/>
        <w:keepLines w:val="0"/>
        <w:pageBreakBefore w:val="0"/>
        <w:kinsoku/>
        <w:overflowPunct/>
        <w:topLinePunct w:val="0"/>
        <w:autoSpaceDE/>
        <w:autoSpaceDN/>
        <w:bidi w:val="0"/>
        <w:spacing w:beforeAutospacing="0" w:afterAutospacing="0" w:line="600" w:lineRule="exact"/>
        <w:rPr>
          <w:rFonts w:hint="eastAsia" w:ascii="宋体" w:hAnsi="宋体" w:eastAsia="宋体"/>
          <w:kern w:val="0"/>
          <w:sz w:val="24"/>
          <w:szCs w:val="24"/>
        </w:rPr>
      </w:pPr>
      <w:r>
        <w:rPr>
          <w:rFonts w:hint="eastAsia" w:ascii="宋体" w:hAnsi="宋体"/>
          <w:kern w:val="0"/>
          <w:sz w:val="24"/>
          <w:szCs w:val="24"/>
          <w:lang w:val="en-US" w:eastAsia="zh-CN"/>
        </w:rPr>
        <w:t>一、</w:t>
      </w:r>
      <w:r>
        <w:rPr>
          <w:rFonts w:hint="eastAsia" w:ascii="宋体" w:hAnsi="宋体" w:eastAsia="宋体"/>
          <w:kern w:val="0"/>
          <w:sz w:val="24"/>
          <w:szCs w:val="24"/>
        </w:rPr>
        <w:t>比赛项目</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电子</w:t>
      </w:r>
      <w:r>
        <w:rPr>
          <w:rFonts w:hint="eastAsia" w:ascii="宋体" w:hAnsi="宋体"/>
          <w:kern w:val="0"/>
          <w:sz w:val="24"/>
          <w:szCs w:val="24"/>
          <w:lang w:val="en-US" w:eastAsia="zh-CN"/>
        </w:rPr>
        <w:t>产品设计与应用</w:t>
      </w:r>
      <w:r>
        <w:rPr>
          <w:rFonts w:hint="eastAsia" w:ascii="宋体" w:hAnsi="宋体" w:eastAsia="宋体"/>
          <w:kern w:val="0"/>
          <w:sz w:val="24"/>
          <w:szCs w:val="24"/>
        </w:rPr>
        <w:t>项目</w:t>
      </w:r>
    </w:p>
    <w:p>
      <w:pPr>
        <w:keepNext w:val="0"/>
        <w:keepLines w:val="0"/>
        <w:pageBreakBefore w:val="0"/>
        <w:kinsoku/>
        <w:overflowPunct/>
        <w:topLinePunct w:val="0"/>
        <w:autoSpaceDE/>
        <w:autoSpaceDN/>
        <w:bidi w:val="0"/>
        <w:snapToGrid w:val="0"/>
        <w:spacing w:beforeAutospacing="0" w:afterAutospacing="0" w:line="600" w:lineRule="exact"/>
        <w:rPr>
          <w:rFonts w:hint="eastAsia" w:ascii="宋体" w:hAnsi="宋体" w:eastAsia="宋体"/>
          <w:kern w:val="0"/>
          <w:sz w:val="24"/>
          <w:szCs w:val="24"/>
        </w:rPr>
      </w:pPr>
      <w:r>
        <w:rPr>
          <w:rFonts w:hint="eastAsia" w:ascii="宋体" w:hAnsi="宋体"/>
          <w:kern w:val="0"/>
          <w:sz w:val="24"/>
          <w:szCs w:val="24"/>
          <w:lang w:val="en-US" w:eastAsia="zh-CN"/>
        </w:rPr>
        <w:t>二</w:t>
      </w:r>
      <w:r>
        <w:rPr>
          <w:rFonts w:hint="eastAsia" w:ascii="宋体" w:hAnsi="宋体" w:eastAsia="宋体"/>
          <w:kern w:val="0"/>
          <w:sz w:val="24"/>
          <w:szCs w:val="24"/>
        </w:rPr>
        <w:t>、比赛方式与参赛资格</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（1）比赛方式</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lang w:val="en-US" w:eastAsia="zh-CN"/>
        </w:rPr>
      </w:pPr>
      <w:r>
        <w:rPr>
          <w:rFonts w:hint="eastAsia" w:ascii="宋体" w:hAnsi="宋体" w:eastAsia="宋体"/>
          <w:kern w:val="0"/>
          <w:sz w:val="24"/>
          <w:szCs w:val="24"/>
        </w:rPr>
        <w:t>电子</w:t>
      </w:r>
      <w:r>
        <w:rPr>
          <w:rFonts w:hint="eastAsia" w:ascii="宋体" w:hAnsi="宋体"/>
          <w:kern w:val="0"/>
          <w:sz w:val="24"/>
          <w:szCs w:val="24"/>
          <w:lang w:val="en-US" w:eastAsia="zh-CN"/>
        </w:rPr>
        <w:t>产品设计与应用</w:t>
      </w:r>
      <w:r>
        <w:rPr>
          <w:rFonts w:hint="eastAsia" w:ascii="宋体" w:hAnsi="宋体" w:eastAsia="宋体"/>
          <w:kern w:val="0"/>
          <w:sz w:val="24"/>
          <w:szCs w:val="24"/>
          <w:lang w:val="en-US" w:eastAsia="zh-CN"/>
        </w:rPr>
        <w:t>项目由每位参赛学生独立完成规定的工作任务。参赛人数不得超过二、三年级在校学生总数的15%。</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（2）参赛</w:t>
      </w:r>
      <w:r>
        <w:rPr>
          <w:rFonts w:hint="eastAsia" w:ascii="宋体" w:hAnsi="宋体" w:eastAsia="宋体"/>
          <w:kern w:val="0"/>
          <w:sz w:val="24"/>
          <w:szCs w:val="24"/>
          <w:lang w:eastAsia="zh-CN"/>
        </w:rPr>
        <w:t>对象</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本届大赛参赛对象为市属、区县属中等职业学校二、三年级在籍在校学生，年龄不超过21周岁。参赛专业与所学专业一致或相近，参赛选手只能参加一个赛项。已获得省赛一、二等奖的选手不得参加本次市级大赛。参赛选手必须购买学生实习实训保险。</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请各学校上交参赛学生相关证明材料的复印件，以备审查核对。</w:t>
      </w:r>
    </w:p>
    <w:p>
      <w:pPr>
        <w:keepNext w:val="0"/>
        <w:keepLines w:val="0"/>
        <w:pageBreakBefore w:val="0"/>
        <w:kinsoku/>
        <w:overflowPunct/>
        <w:topLinePunct w:val="0"/>
        <w:autoSpaceDE/>
        <w:autoSpaceDN/>
        <w:bidi w:val="0"/>
        <w:snapToGrid w:val="0"/>
        <w:spacing w:beforeAutospacing="0" w:afterAutospacing="0" w:line="600" w:lineRule="exact"/>
        <w:rPr>
          <w:rFonts w:hint="eastAsia" w:ascii="宋体" w:hAnsi="宋体" w:eastAsia="宋体"/>
          <w:kern w:val="0"/>
          <w:sz w:val="24"/>
          <w:szCs w:val="24"/>
          <w:lang w:val="en-US" w:eastAsia="zh-CN"/>
        </w:rPr>
      </w:pPr>
      <w:r>
        <w:rPr>
          <w:rFonts w:hint="eastAsia" w:ascii="宋体" w:hAnsi="宋体"/>
          <w:kern w:val="0"/>
          <w:sz w:val="24"/>
          <w:szCs w:val="24"/>
          <w:lang w:val="en-US" w:eastAsia="zh-CN"/>
        </w:rPr>
        <w:t>三、</w:t>
      </w:r>
      <w:r>
        <w:rPr>
          <w:rFonts w:hint="eastAsia" w:ascii="宋体" w:hAnsi="宋体" w:eastAsia="宋体"/>
          <w:kern w:val="0"/>
          <w:sz w:val="24"/>
          <w:szCs w:val="24"/>
          <w:lang w:val="en-US" w:eastAsia="zh-CN"/>
        </w:rPr>
        <w:t>竞赛任务</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选手在规定时间内，根据</w:t>
      </w:r>
      <w:r>
        <w:rPr>
          <w:rFonts w:hint="eastAsia" w:ascii="宋体" w:hAnsi="宋体"/>
          <w:kern w:val="0"/>
          <w:sz w:val="24"/>
          <w:szCs w:val="24"/>
          <w:lang w:val="en-US" w:eastAsia="zh-CN"/>
        </w:rPr>
        <w:t>赛项</w:t>
      </w:r>
      <w:r>
        <w:rPr>
          <w:rFonts w:hint="eastAsia" w:ascii="宋体" w:hAnsi="宋体" w:eastAsia="宋体"/>
          <w:kern w:val="0"/>
          <w:sz w:val="24"/>
          <w:szCs w:val="24"/>
        </w:rPr>
        <w:t>工作任务书、电子产品电路原理图、元器件清单、主要元器件及电路功能说明等文件，使用仪器、设备和工具，完成以下工作任务：</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1.元件检测。在规定时间内完成电子元器件和功能部件的识别、筛选及检测。</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电子产品装配及调试。按照工作任务书中电子产品和功能，在赛场提供的电路板（PCB板）上焊接及安装电子元器件及功能部件，完成电子产品装配（其中部分元器件的封装采用贴片焊接形式）；使用设备完成电路有关参数的调试、性能测试。</w:t>
      </w:r>
    </w:p>
    <w:p>
      <w:pPr>
        <w:keepNext w:val="0"/>
        <w:keepLines w:val="0"/>
        <w:pageBreakBefore w:val="0"/>
        <w:kinsoku/>
        <w:overflowPunct/>
        <w:topLinePunct w:val="0"/>
        <w:autoSpaceDE/>
        <w:autoSpaceDN/>
        <w:bidi w:val="0"/>
        <w:snapToGrid w:val="0"/>
        <w:spacing w:beforeAutospacing="0" w:afterAutospacing="0" w:line="600" w:lineRule="exact"/>
        <w:ind w:left="105" w:leftChars="50" w:firstLine="360" w:firstLineChars="150"/>
        <w:rPr>
          <w:rFonts w:hint="eastAsia" w:ascii="宋体" w:hAnsi="宋体" w:eastAsia="宋体"/>
          <w:kern w:val="0"/>
          <w:sz w:val="24"/>
          <w:szCs w:val="24"/>
        </w:rPr>
      </w:pPr>
      <w:r>
        <w:rPr>
          <w:rFonts w:hint="eastAsia" w:ascii="宋体" w:hAnsi="宋体" w:eastAsia="宋体"/>
          <w:kern w:val="0"/>
          <w:sz w:val="24"/>
          <w:szCs w:val="24"/>
        </w:rPr>
        <w:t>3.测绘电子电路图。在Altium Designer软件环境中按要求绘制电子电路图。</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4.完成比赛规定的全部工作任务的时间为4小时。</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5.赛场提供的设备和器材</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 主要设备</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亚龙YL-135型电子工艺实训考核装置，主要配置有：</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1)YL-238A函数信号发生器；</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2)20MHz双踪示波器，型号：GOS-620、100 MHz双踪示波器，型号：YLDS1102D；</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3)数字毫伏表，型号：DF1931；</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4)数字频率计，型号：GFC-8010H；</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5)计算机，安装</w:t>
      </w:r>
      <w:r>
        <w:rPr>
          <w:rFonts w:hint="eastAsia" w:ascii="宋体" w:hAnsi="宋体" w:eastAsia="宋体"/>
          <w:kern w:val="0"/>
          <w:sz w:val="24"/>
          <w:szCs w:val="24"/>
          <w:lang w:val="en-US" w:eastAsia="zh-CN"/>
        </w:rPr>
        <w:t>Altium Designer Winter09</w:t>
      </w:r>
      <w:r>
        <w:rPr>
          <w:rFonts w:hint="eastAsia" w:ascii="宋体" w:hAnsi="宋体" w:eastAsia="宋体"/>
          <w:kern w:val="0"/>
          <w:sz w:val="24"/>
          <w:szCs w:val="24"/>
        </w:rPr>
        <w:t>软件；</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（2）器材</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1)工作任务书设定电子产品和功能电路所需元器件和单元电子电路模块；</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2)电路板（PCB板）；</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3)连接导线，焊锡、助焊剂等。</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6</w:t>
      </w:r>
      <w:r>
        <w:rPr>
          <w:rFonts w:hint="eastAsia" w:ascii="宋体" w:hAnsi="宋体"/>
          <w:kern w:val="0"/>
          <w:sz w:val="24"/>
          <w:szCs w:val="24"/>
          <w:lang w:eastAsia="zh-CN"/>
        </w:rPr>
        <w:t>.</w:t>
      </w:r>
      <w:r>
        <w:rPr>
          <w:rFonts w:hint="eastAsia" w:ascii="宋体" w:hAnsi="宋体" w:eastAsia="宋体"/>
          <w:kern w:val="0"/>
          <w:sz w:val="24"/>
          <w:szCs w:val="24"/>
        </w:rPr>
        <w:t>选手自带工具</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（1）电子产品装配工具；</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（2）电路和元件检</w:t>
      </w:r>
      <w:r>
        <w:rPr>
          <w:rFonts w:hint="eastAsia" w:ascii="宋体" w:hAnsi="宋体"/>
          <w:kern w:val="0"/>
          <w:sz w:val="24"/>
          <w:szCs w:val="24"/>
          <w:lang w:val="en-US" w:eastAsia="zh-CN"/>
        </w:rPr>
        <w:t>测</w:t>
      </w:r>
      <w:r>
        <w:rPr>
          <w:rFonts w:hint="eastAsia" w:ascii="宋体" w:hAnsi="宋体" w:eastAsia="宋体"/>
          <w:kern w:val="0"/>
          <w:sz w:val="24"/>
          <w:szCs w:val="24"/>
        </w:rPr>
        <w:t>工具；</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（3）试题作答工具。</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7</w:t>
      </w:r>
      <w:r>
        <w:rPr>
          <w:rFonts w:hint="eastAsia" w:ascii="宋体" w:hAnsi="宋体"/>
          <w:kern w:val="0"/>
          <w:sz w:val="24"/>
          <w:szCs w:val="24"/>
          <w:lang w:eastAsia="zh-CN"/>
        </w:rPr>
        <w:t>.</w:t>
      </w:r>
      <w:r>
        <w:rPr>
          <w:rFonts w:hint="eastAsia" w:ascii="宋体" w:hAnsi="宋体" w:eastAsia="宋体"/>
          <w:kern w:val="0"/>
          <w:sz w:val="24"/>
          <w:szCs w:val="24"/>
        </w:rPr>
        <w:t>评分</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（1）评分标准及分值</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根据选手在规定时间内完成工作任务的情况，参照工业和信息化部电子行业无线电调试高级工的国家职业标准进行评分。满分为100分。</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 xml:space="preserve">评分项目及其内容要求如下表： </w:t>
      </w:r>
    </w:p>
    <w:tbl>
      <w:tblPr>
        <w:tblStyle w:val="2"/>
        <w:tblW w:w="90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98"/>
        <w:gridCol w:w="1090"/>
        <w:gridCol w:w="61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jc w:val="center"/>
        </w:trPr>
        <w:tc>
          <w:tcPr>
            <w:tcW w:w="1898" w:type="dxa"/>
            <w:vAlign w:val="center"/>
          </w:tcPr>
          <w:p>
            <w:pPr>
              <w:keepNext w:val="0"/>
              <w:keepLines w:val="0"/>
              <w:pageBreakBefore w:val="0"/>
              <w:widowControl/>
              <w:kinsoku/>
              <w:overflowPunct/>
              <w:topLinePunct w:val="0"/>
              <w:autoSpaceDE/>
              <w:autoSpaceDN/>
              <w:bidi w:val="0"/>
              <w:snapToGrid w:val="0"/>
              <w:spacing w:beforeAutospacing="0" w:afterAutospacing="0" w:line="600" w:lineRule="exact"/>
              <w:jc w:val="center"/>
              <w:rPr>
                <w:rFonts w:hint="eastAsia" w:ascii="宋体" w:hAnsi="宋体" w:eastAsia="宋体"/>
                <w:kern w:val="0"/>
                <w:sz w:val="24"/>
                <w:szCs w:val="24"/>
              </w:rPr>
            </w:pPr>
            <w:r>
              <w:rPr>
                <w:rFonts w:hint="eastAsia" w:ascii="宋体" w:hAnsi="宋体" w:eastAsia="宋体"/>
                <w:kern w:val="0"/>
                <w:sz w:val="24"/>
                <w:szCs w:val="24"/>
              </w:rPr>
              <w:t>项目</w:t>
            </w:r>
          </w:p>
        </w:tc>
        <w:tc>
          <w:tcPr>
            <w:tcW w:w="1090" w:type="dxa"/>
            <w:vAlign w:val="center"/>
          </w:tcPr>
          <w:p>
            <w:pPr>
              <w:keepNext w:val="0"/>
              <w:keepLines w:val="0"/>
              <w:pageBreakBefore w:val="0"/>
              <w:widowControl/>
              <w:kinsoku/>
              <w:overflowPunct/>
              <w:topLinePunct w:val="0"/>
              <w:autoSpaceDE/>
              <w:autoSpaceDN/>
              <w:bidi w:val="0"/>
              <w:snapToGrid w:val="0"/>
              <w:spacing w:beforeAutospacing="0" w:afterAutospacing="0" w:line="600" w:lineRule="exact"/>
              <w:jc w:val="center"/>
              <w:rPr>
                <w:rFonts w:hint="eastAsia" w:ascii="宋体" w:hAnsi="宋体" w:eastAsia="宋体"/>
                <w:kern w:val="0"/>
                <w:sz w:val="24"/>
                <w:szCs w:val="24"/>
              </w:rPr>
            </w:pPr>
            <w:r>
              <w:rPr>
                <w:rFonts w:hint="eastAsia" w:ascii="宋体" w:hAnsi="宋体" w:eastAsia="宋体"/>
                <w:kern w:val="0"/>
                <w:sz w:val="24"/>
                <w:szCs w:val="24"/>
              </w:rPr>
              <w:t>分值</w:t>
            </w:r>
          </w:p>
        </w:tc>
        <w:tc>
          <w:tcPr>
            <w:tcW w:w="6107" w:type="dxa"/>
            <w:vAlign w:val="center"/>
          </w:tcPr>
          <w:p>
            <w:pPr>
              <w:keepNext w:val="0"/>
              <w:keepLines w:val="0"/>
              <w:pageBreakBefore w:val="0"/>
              <w:widowControl/>
              <w:kinsoku/>
              <w:overflowPunct/>
              <w:topLinePunct w:val="0"/>
              <w:autoSpaceDE/>
              <w:autoSpaceDN/>
              <w:bidi w:val="0"/>
              <w:snapToGrid w:val="0"/>
              <w:spacing w:beforeAutospacing="0" w:afterAutospacing="0" w:line="600" w:lineRule="exact"/>
              <w:jc w:val="center"/>
              <w:rPr>
                <w:rFonts w:hint="eastAsia" w:ascii="宋体" w:hAnsi="宋体" w:eastAsia="宋体"/>
                <w:kern w:val="0"/>
                <w:sz w:val="24"/>
                <w:szCs w:val="24"/>
              </w:rPr>
            </w:pPr>
            <w:r>
              <w:rPr>
                <w:rFonts w:hint="eastAsia" w:ascii="宋体" w:hAnsi="宋体" w:eastAsia="宋体"/>
                <w:kern w:val="0"/>
                <w:sz w:val="24"/>
                <w:szCs w:val="24"/>
              </w:rPr>
              <w:t>内容要求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98" w:type="dxa"/>
            <w:vAlign w:val="center"/>
          </w:tcPr>
          <w:p>
            <w:pPr>
              <w:keepNext w:val="0"/>
              <w:keepLines w:val="0"/>
              <w:pageBreakBefore w:val="0"/>
              <w:widowControl/>
              <w:kinsoku/>
              <w:overflowPunct/>
              <w:topLinePunct w:val="0"/>
              <w:autoSpaceDE/>
              <w:autoSpaceDN/>
              <w:bidi w:val="0"/>
              <w:snapToGrid w:val="0"/>
              <w:spacing w:beforeAutospacing="0" w:afterAutospacing="0" w:line="600" w:lineRule="exact"/>
              <w:jc w:val="center"/>
              <w:rPr>
                <w:rFonts w:hint="eastAsia" w:ascii="宋体" w:hAnsi="宋体" w:eastAsia="宋体"/>
                <w:kern w:val="0"/>
                <w:sz w:val="24"/>
                <w:szCs w:val="24"/>
              </w:rPr>
            </w:pPr>
            <w:r>
              <w:rPr>
                <w:rFonts w:hint="eastAsia" w:ascii="宋体" w:hAnsi="宋体" w:eastAsia="宋体"/>
                <w:kern w:val="0"/>
                <w:sz w:val="24"/>
                <w:szCs w:val="24"/>
              </w:rPr>
              <w:t>正确性</w:t>
            </w:r>
          </w:p>
        </w:tc>
        <w:tc>
          <w:tcPr>
            <w:tcW w:w="1090" w:type="dxa"/>
            <w:vAlign w:val="center"/>
          </w:tcPr>
          <w:p>
            <w:pPr>
              <w:keepNext w:val="0"/>
              <w:keepLines w:val="0"/>
              <w:pageBreakBefore w:val="0"/>
              <w:widowControl/>
              <w:kinsoku/>
              <w:overflowPunct/>
              <w:topLinePunct w:val="0"/>
              <w:autoSpaceDE/>
              <w:autoSpaceDN/>
              <w:bidi w:val="0"/>
              <w:snapToGrid w:val="0"/>
              <w:spacing w:beforeAutospacing="0" w:afterAutospacing="0" w:line="600" w:lineRule="exact"/>
              <w:jc w:val="center"/>
              <w:rPr>
                <w:rFonts w:hint="eastAsia" w:ascii="宋体" w:hAnsi="宋体" w:eastAsia="宋体"/>
                <w:kern w:val="0"/>
                <w:sz w:val="24"/>
                <w:szCs w:val="24"/>
              </w:rPr>
            </w:pPr>
            <w:r>
              <w:rPr>
                <w:rFonts w:hint="eastAsia" w:ascii="宋体" w:hAnsi="宋体" w:eastAsia="宋体"/>
                <w:kern w:val="0"/>
                <w:sz w:val="24"/>
                <w:szCs w:val="24"/>
              </w:rPr>
              <w:t>70</w:t>
            </w:r>
          </w:p>
        </w:tc>
        <w:tc>
          <w:tcPr>
            <w:tcW w:w="6107" w:type="dxa"/>
            <w:vAlign w:val="top"/>
          </w:tcPr>
          <w:p>
            <w:pPr>
              <w:keepNext w:val="0"/>
              <w:keepLines w:val="0"/>
              <w:pageBreakBefore w:val="0"/>
              <w:widowControl/>
              <w:kinsoku/>
              <w:overflowPunct/>
              <w:topLinePunct w:val="0"/>
              <w:autoSpaceDE/>
              <w:autoSpaceDN/>
              <w:bidi w:val="0"/>
              <w:snapToGrid w:val="0"/>
              <w:spacing w:beforeAutospacing="0" w:afterAutospacing="0" w:line="600" w:lineRule="exact"/>
              <w:ind w:firstLine="360" w:firstLineChars="150"/>
              <w:rPr>
                <w:rFonts w:hint="eastAsia" w:ascii="宋体" w:hAnsi="宋体" w:eastAsia="宋体"/>
                <w:kern w:val="0"/>
                <w:sz w:val="24"/>
                <w:szCs w:val="24"/>
              </w:rPr>
            </w:pPr>
            <w:r>
              <w:rPr>
                <w:rFonts w:hint="eastAsia" w:ascii="宋体" w:hAnsi="宋体" w:eastAsia="宋体"/>
                <w:kern w:val="0"/>
                <w:sz w:val="24"/>
                <w:szCs w:val="24"/>
              </w:rPr>
              <w:t>识别、选择、检测电子元器件及功能部件符合工作任务书的要求；电子产品电路能实现任务书拟定的功能；电路方框图、有关参数的调试和性能测试正确；电子产品功能及其技术指标符合要求,检测电路的参数正确；绘制电路原理图、有关元件的PCB封装正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98" w:type="dxa"/>
            <w:vAlign w:val="center"/>
          </w:tcPr>
          <w:p>
            <w:pPr>
              <w:keepNext w:val="0"/>
              <w:keepLines w:val="0"/>
              <w:pageBreakBefore w:val="0"/>
              <w:widowControl/>
              <w:kinsoku/>
              <w:overflowPunct/>
              <w:topLinePunct w:val="0"/>
              <w:autoSpaceDE/>
              <w:autoSpaceDN/>
              <w:bidi w:val="0"/>
              <w:snapToGrid w:val="0"/>
              <w:spacing w:beforeAutospacing="0" w:afterAutospacing="0" w:line="600" w:lineRule="exact"/>
              <w:jc w:val="center"/>
              <w:rPr>
                <w:rFonts w:hint="eastAsia" w:ascii="宋体" w:hAnsi="宋体" w:eastAsia="宋体"/>
                <w:kern w:val="0"/>
                <w:sz w:val="24"/>
                <w:szCs w:val="24"/>
              </w:rPr>
            </w:pPr>
            <w:r>
              <w:rPr>
                <w:rFonts w:hint="eastAsia" w:ascii="宋体" w:hAnsi="宋体" w:eastAsia="宋体"/>
                <w:kern w:val="0"/>
                <w:sz w:val="24"/>
                <w:szCs w:val="24"/>
              </w:rPr>
              <w:t>工艺性</w:t>
            </w:r>
          </w:p>
        </w:tc>
        <w:tc>
          <w:tcPr>
            <w:tcW w:w="1090" w:type="dxa"/>
            <w:vAlign w:val="center"/>
          </w:tcPr>
          <w:p>
            <w:pPr>
              <w:keepNext w:val="0"/>
              <w:keepLines w:val="0"/>
              <w:pageBreakBefore w:val="0"/>
              <w:widowControl/>
              <w:kinsoku/>
              <w:overflowPunct/>
              <w:topLinePunct w:val="0"/>
              <w:autoSpaceDE/>
              <w:autoSpaceDN/>
              <w:bidi w:val="0"/>
              <w:snapToGrid w:val="0"/>
              <w:spacing w:beforeAutospacing="0" w:afterAutospacing="0" w:line="600" w:lineRule="exact"/>
              <w:jc w:val="center"/>
              <w:rPr>
                <w:rFonts w:hint="eastAsia" w:ascii="宋体" w:hAnsi="宋体" w:eastAsia="宋体"/>
                <w:kern w:val="0"/>
                <w:sz w:val="24"/>
                <w:szCs w:val="24"/>
              </w:rPr>
            </w:pPr>
            <w:r>
              <w:rPr>
                <w:rFonts w:hint="eastAsia" w:ascii="宋体" w:hAnsi="宋体" w:eastAsia="宋体"/>
                <w:kern w:val="0"/>
                <w:sz w:val="24"/>
                <w:szCs w:val="24"/>
              </w:rPr>
              <w:t>20</w:t>
            </w:r>
          </w:p>
        </w:tc>
        <w:tc>
          <w:tcPr>
            <w:tcW w:w="6107" w:type="dxa"/>
            <w:vAlign w:val="top"/>
          </w:tcPr>
          <w:p>
            <w:pPr>
              <w:keepNext w:val="0"/>
              <w:keepLines w:val="0"/>
              <w:pageBreakBefore w:val="0"/>
              <w:widowControl/>
              <w:kinsoku/>
              <w:overflowPunct/>
              <w:topLinePunct w:val="0"/>
              <w:autoSpaceDE/>
              <w:autoSpaceDN/>
              <w:bidi w:val="0"/>
              <w:snapToGrid w:val="0"/>
              <w:spacing w:beforeAutospacing="0" w:afterAutospacing="0" w:line="600" w:lineRule="exact"/>
              <w:ind w:firstLine="360" w:firstLineChars="150"/>
              <w:rPr>
                <w:rFonts w:hint="eastAsia" w:ascii="宋体" w:hAnsi="宋体" w:eastAsia="宋体"/>
                <w:kern w:val="0"/>
                <w:sz w:val="24"/>
                <w:szCs w:val="24"/>
              </w:rPr>
            </w:pPr>
            <w:r>
              <w:rPr>
                <w:rFonts w:hint="eastAsia" w:ascii="宋体" w:hAnsi="宋体" w:eastAsia="宋体"/>
                <w:kern w:val="0"/>
                <w:sz w:val="24"/>
                <w:szCs w:val="24"/>
              </w:rPr>
              <w:t>工艺步骤合理，方法正确，工具、仪表的使用符合规范；元器件焊接、装配及电路连接布线符合工艺要求、安全要求，整齐、美观、可靠，符合技术要求和工作要求。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98" w:type="dxa"/>
            <w:vAlign w:val="center"/>
          </w:tcPr>
          <w:p>
            <w:pPr>
              <w:keepNext w:val="0"/>
              <w:keepLines w:val="0"/>
              <w:pageBreakBefore w:val="0"/>
              <w:widowControl/>
              <w:kinsoku/>
              <w:overflowPunct/>
              <w:topLinePunct w:val="0"/>
              <w:autoSpaceDE/>
              <w:autoSpaceDN/>
              <w:bidi w:val="0"/>
              <w:snapToGrid w:val="0"/>
              <w:spacing w:beforeAutospacing="0" w:afterAutospacing="0" w:line="600" w:lineRule="exact"/>
              <w:jc w:val="center"/>
              <w:rPr>
                <w:rFonts w:hint="eastAsia" w:ascii="宋体" w:hAnsi="宋体" w:eastAsia="宋体"/>
                <w:kern w:val="0"/>
                <w:sz w:val="24"/>
                <w:szCs w:val="24"/>
              </w:rPr>
            </w:pPr>
            <w:r>
              <w:rPr>
                <w:rFonts w:hint="eastAsia" w:ascii="宋体" w:hAnsi="宋体" w:eastAsia="宋体"/>
                <w:kern w:val="0"/>
                <w:sz w:val="24"/>
                <w:szCs w:val="24"/>
              </w:rPr>
              <w:t>职业与</w:t>
            </w:r>
          </w:p>
          <w:p>
            <w:pPr>
              <w:keepNext w:val="0"/>
              <w:keepLines w:val="0"/>
              <w:pageBreakBefore w:val="0"/>
              <w:widowControl/>
              <w:kinsoku/>
              <w:overflowPunct/>
              <w:topLinePunct w:val="0"/>
              <w:autoSpaceDE/>
              <w:autoSpaceDN/>
              <w:bidi w:val="0"/>
              <w:snapToGrid w:val="0"/>
              <w:spacing w:beforeAutospacing="0" w:afterAutospacing="0" w:line="600" w:lineRule="exact"/>
              <w:jc w:val="center"/>
              <w:rPr>
                <w:rFonts w:hint="eastAsia" w:ascii="宋体" w:hAnsi="宋体" w:eastAsia="宋体"/>
                <w:kern w:val="0"/>
                <w:sz w:val="24"/>
                <w:szCs w:val="24"/>
              </w:rPr>
            </w:pPr>
            <w:r>
              <w:rPr>
                <w:rFonts w:hint="eastAsia" w:ascii="宋体" w:hAnsi="宋体" w:eastAsia="宋体"/>
                <w:kern w:val="0"/>
                <w:sz w:val="24"/>
                <w:szCs w:val="24"/>
              </w:rPr>
              <w:t>安全意识</w:t>
            </w:r>
          </w:p>
        </w:tc>
        <w:tc>
          <w:tcPr>
            <w:tcW w:w="1090" w:type="dxa"/>
            <w:vAlign w:val="center"/>
          </w:tcPr>
          <w:p>
            <w:pPr>
              <w:keepNext w:val="0"/>
              <w:keepLines w:val="0"/>
              <w:pageBreakBefore w:val="0"/>
              <w:widowControl/>
              <w:kinsoku/>
              <w:overflowPunct/>
              <w:topLinePunct w:val="0"/>
              <w:autoSpaceDE/>
              <w:autoSpaceDN/>
              <w:bidi w:val="0"/>
              <w:snapToGrid w:val="0"/>
              <w:spacing w:beforeAutospacing="0" w:afterAutospacing="0" w:line="600" w:lineRule="exact"/>
              <w:jc w:val="center"/>
              <w:rPr>
                <w:rFonts w:hint="eastAsia" w:ascii="宋体" w:hAnsi="宋体" w:eastAsia="宋体"/>
                <w:kern w:val="0"/>
                <w:sz w:val="24"/>
                <w:szCs w:val="24"/>
              </w:rPr>
            </w:pPr>
            <w:r>
              <w:rPr>
                <w:rFonts w:hint="eastAsia" w:ascii="宋体" w:hAnsi="宋体" w:eastAsia="宋体"/>
                <w:kern w:val="0"/>
                <w:sz w:val="24"/>
                <w:szCs w:val="24"/>
              </w:rPr>
              <w:t>10</w:t>
            </w:r>
          </w:p>
        </w:tc>
        <w:tc>
          <w:tcPr>
            <w:tcW w:w="6107" w:type="dxa"/>
            <w:vAlign w:val="top"/>
          </w:tcPr>
          <w:p>
            <w:pPr>
              <w:keepNext w:val="0"/>
              <w:keepLines w:val="0"/>
              <w:pageBreakBefore w:val="0"/>
              <w:widowControl/>
              <w:kinsoku/>
              <w:overflowPunct/>
              <w:topLinePunct w:val="0"/>
              <w:autoSpaceDE/>
              <w:autoSpaceDN/>
              <w:bidi w:val="0"/>
              <w:snapToGrid w:val="0"/>
              <w:spacing w:beforeAutospacing="0" w:afterAutospacing="0" w:line="600" w:lineRule="exact"/>
              <w:ind w:firstLine="360" w:firstLineChars="150"/>
              <w:rPr>
                <w:rFonts w:hint="eastAsia" w:ascii="宋体" w:hAnsi="宋体" w:eastAsia="宋体"/>
                <w:kern w:val="0"/>
                <w:sz w:val="24"/>
                <w:szCs w:val="24"/>
              </w:rPr>
            </w:pPr>
            <w:r>
              <w:rPr>
                <w:rFonts w:hint="eastAsia" w:ascii="宋体" w:hAnsi="宋体" w:eastAsia="宋体"/>
                <w:kern w:val="0"/>
                <w:sz w:val="24"/>
                <w:szCs w:val="24"/>
              </w:rPr>
              <w:t>操作符合安全操作规程；工具摆放、包装物品、导线线头等的处理，符合职业岗位的要求；遵守赛场纪律，尊重赛场工作人员，爱惜赛场的设备和器材，保持工位的整洁。</w:t>
            </w:r>
          </w:p>
        </w:tc>
      </w:tr>
    </w:tbl>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 违规扣分</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选手有下列情形，需从比赛成绩中扣分：</w:t>
      </w:r>
    </w:p>
    <w:p>
      <w:pPr>
        <w:keepNext w:val="0"/>
        <w:keepLines w:val="0"/>
        <w:pageBreakBefore w:val="0"/>
        <w:kinsoku/>
        <w:overflowPunct/>
        <w:topLinePunct w:val="0"/>
        <w:autoSpaceDE/>
        <w:autoSpaceDN/>
        <w:bidi w:val="0"/>
        <w:spacing w:beforeAutospacing="0" w:afterAutospacing="0" w:line="600" w:lineRule="exact"/>
        <w:ind w:firstLine="600" w:firstLineChars="250"/>
        <w:rPr>
          <w:rFonts w:hint="eastAsia" w:ascii="宋体" w:hAnsi="宋体" w:eastAsia="宋体"/>
          <w:kern w:val="0"/>
          <w:sz w:val="24"/>
          <w:szCs w:val="24"/>
        </w:rPr>
      </w:pPr>
      <w:r>
        <w:rPr>
          <w:rFonts w:hint="eastAsia" w:ascii="宋体" w:hAnsi="宋体" w:eastAsia="宋体"/>
          <w:kern w:val="0"/>
          <w:sz w:val="24"/>
          <w:szCs w:val="24"/>
        </w:rPr>
        <w:t>1）违反比赛规定,提前进行操作或比赛终止仍继续操作的,由现场评委负责记录并酌情扣1-5分。</w:t>
      </w:r>
    </w:p>
    <w:p>
      <w:pPr>
        <w:keepNext w:val="0"/>
        <w:keepLines w:val="0"/>
        <w:pageBreakBefore w:val="0"/>
        <w:kinsoku/>
        <w:overflowPunct/>
        <w:topLinePunct w:val="0"/>
        <w:autoSpaceDE/>
        <w:autoSpaceDN/>
        <w:bidi w:val="0"/>
        <w:spacing w:beforeAutospacing="0" w:afterAutospacing="0" w:line="600" w:lineRule="exact"/>
        <w:ind w:firstLine="600" w:firstLineChars="250"/>
        <w:rPr>
          <w:rFonts w:hint="eastAsia" w:ascii="宋体" w:hAnsi="宋体" w:eastAsia="宋体"/>
          <w:kern w:val="0"/>
          <w:sz w:val="24"/>
          <w:szCs w:val="24"/>
        </w:rPr>
      </w:pPr>
      <w:r>
        <w:rPr>
          <w:rFonts w:hint="eastAsia" w:ascii="宋体" w:hAnsi="宋体" w:eastAsia="宋体"/>
          <w:kern w:val="0"/>
          <w:sz w:val="24"/>
          <w:szCs w:val="24"/>
        </w:rPr>
        <w:t>2）在竞赛过程中，违反赛场纪律，由评委现场记录参赛选手违纪情节， 依据情节扣1-5分。</w:t>
      </w:r>
    </w:p>
    <w:p>
      <w:pPr>
        <w:keepNext w:val="0"/>
        <w:keepLines w:val="0"/>
        <w:pageBreakBefore w:val="0"/>
        <w:kinsoku/>
        <w:overflowPunct/>
        <w:topLinePunct w:val="0"/>
        <w:autoSpaceDE/>
        <w:autoSpaceDN/>
        <w:bidi w:val="0"/>
        <w:spacing w:beforeAutospacing="0" w:afterAutospacing="0" w:line="600" w:lineRule="exact"/>
        <w:ind w:firstLine="600" w:firstLineChars="250"/>
        <w:rPr>
          <w:rFonts w:hint="eastAsia" w:ascii="宋体" w:hAnsi="宋体" w:eastAsia="宋体"/>
          <w:kern w:val="0"/>
          <w:sz w:val="24"/>
          <w:szCs w:val="24"/>
        </w:rPr>
      </w:pPr>
      <w:r>
        <w:rPr>
          <w:rFonts w:hint="eastAsia" w:ascii="宋体" w:hAnsi="宋体" w:eastAsia="宋体"/>
          <w:kern w:val="0"/>
          <w:sz w:val="24"/>
          <w:szCs w:val="24"/>
        </w:rPr>
        <w:t>3）在完成工作任务的过程中违反操作规程或因操作不当，未造成设备损坏或影响其他选手比赛的，扣5-10分；造成设备损坏或影响他人比赛情节严重的，报竞赛执委会批准，由首席评委宣布终止该选手的比赛，竞赛成绩以0分计算。</w:t>
      </w:r>
    </w:p>
    <w:p>
      <w:pPr>
        <w:keepNext w:val="0"/>
        <w:keepLines w:val="0"/>
        <w:pageBreakBefore w:val="0"/>
        <w:kinsoku/>
        <w:overflowPunct/>
        <w:topLinePunct w:val="0"/>
        <w:autoSpaceDE/>
        <w:autoSpaceDN/>
        <w:bidi w:val="0"/>
        <w:spacing w:beforeAutospacing="0" w:afterAutospacing="0" w:line="600" w:lineRule="exact"/>
        <w:ind w:firstLine="600" w:firstLineChars="250"/>
        <w:rPr>
          <w:rFonts w:hint="eastAsia" w:ascii="宋体" w:hAnsi="宋体" w:eastAsia="宋体"/>
          <w:kern w:val="0"/>
          <w:sz w:val="24"/>
          <w:szCs w:val="24"/>
        </w:rPr>
      </w:pPr>
      <w:r>
        <w:rPr>
          <w:rFonts w:hint="eastAsia" w:ascii="宋体" w:hAnsi="宋体" w:eastAsia="宋体"/>
          <w:kern w:val="0"/>
          <w:sz w:val="24"/>
          <w:szCs w:val="24"/>
        </w:rPr>
        <w:t>4）损坏赛场提供的设备，浪费材料，污染赛场环境，工具遗忘在赛场等不符合职业规范的行为，视情节扣5-10分。</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（3） 名次排列</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按比赛成绩从高到低排列参赛选手的名次。比赛成绩相同，完成工作任务所用时间少的名次在前；比赛成绩和完成工作任务用时相同，电子产品功能调试项目成绩较高的名次在前。比赛成绩、完成工作任务用时相同、电子产品功能调试项目成绩相同，名次并列。</w:t>
      </w:r>
    </w:p>
    <w:p>
      <w:pPr>
        <w:pStyle w:val="6"/>
        <w:keepNext w:val="0"/>
        <w:keepLines w:val="0"/>
        <w:pageBreakBefore w:val="0"/>
        <w:kinsoku/>
        <w:overflowPunct/>
        <w:topLinePunct w:val="0"/>
        <w:autoSpaceDE/>
        <w:autoSpaceDN/>
        <w:bidi w:val="0"/>
        <w:spacing w:before="0" w:beforeAutospacing="0" w:after="0" w:afterAutospacing="0" w:line="600" w:lineRule="exact"/>
        <w:rPr>
          <w:rFonts w:hint="eastAsia" w:ascii="宋体" w:hAnsi="宋体" w:eastAsia="宋体"/>
          <w:sz w:val="24"/>
          <w:szCs w:val="24"/>
        </w:rPr>
      </w:pPr>
      <w:r>
        <w:rPr>
          <w:rFonts w:hint="eastAsia"/>
          <w:sz w:val="24"/>
          <w:szCs w:val="24"/>
          <w:lang w:val="en-US" w:eastAsia="zh-CN"/>
        </w:rPr>
        <w:t>四、</w:t>
      </w:r>
      <w:bookmarkStart w:id="0" w:name="_GoBack"/>
      <w:bookmarkEnd w:id="0"/>
      <w:r>
        <w:rPr>
          <w:rFonts w:hint="eastAsia" w:ascii="宋体" w:hAnsi="宋体" w:eastAsia="宋体"/>
          <w:sz w:val="24"/>
          <w:szCs w:val="24"/>
        </w:rPr>
        <w:t>竞赛须知</w:t>
      </w:r>
    </w:p>
    <w:p>
      <w:pPr>
        <w:pStyle w:val="6"/>
        <w:keepNext w:val="0"/>
        <w:keepLines w:val="0"/>
        <w:pageBreakBefore w:val="0"/>
        <w:kinsoku/>
        <w:overflowPunct/>
        <w:topLinePunct w:val="0"/>
        <w:autoSpaceDE/>
        <w:autoSpaceDN/>
        <w:bidi w:val="0"/>
        <w:spacing w:before="0" w:beforeAutospacing="0" w:after="0" w:afterAutospacing="0" w:line="600" w:lineRule="exact"/>
        <w:ind w:firstLine="480" w:firstLineChars="200"/>
        <w:rPr>
          <w:rFonts w:hint="eastAsia" w:ascii="宋体" w:hAnsi="宋体" w:eastAsia="宋体"/>
          <w:sz w:val="24"/>
          <w:szCs w:val="24"/>
        </w:rPr>
      </w:pPr>
      <w:r>
        <w:rPr>
          <w:rFonts w:hint="eastAsia" w:ascii="宋体" w:hAnsi="宋体" w:eastAsia="宋体"/>
          <w:sz w:val="24"/>
          <w:szCs w:val="24"/>
        </w:rPr>
        <w:t>（一）领队、指导教师须知</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1、各参赛代表队要发扬良好道德风尚，听从指挥，遵守比赛规则，诚实参赛。如发现弄虚作假者，取消参赛资格，名次无效。</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2、参赛人员务必于赛前20分钟到赛场等候，迟到15分钟以上按弃权处理，已检录入场的参赛选手未经允许，不得擅自离开。</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3、比赛过程中，除参加当场次比赛的选手、执行评分员、现场工作人员和经批准的人员外，其他人员一律不得进入比赛现场，参赛人员比赛完毕应及时退出比赛现场。</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4、各代表队领队要坚决执行比赛的各项规定，加强对参赛人员的管理，做好赛前准备工作，督促选手带好证件、参赛自带工具等。</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5、参赛选手认为所提供的设备、工具等不符合比赛规定；或对评分员等工作人员的工作有异议时，必须在24小时内由领队提出书面报告送交仲裁组。口头报告或其他人员要求解释处理，仲裁组不予受理。</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6、参赛选手不得因申诉或对处理意见不服而停止比赛，否则以弃权处理。</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7、对申诉的仲裁结果，领队要带头服从和执行，还应说服选手服从和执行。</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（二）参赛选手须知</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1、参赛选手应按规定时间提前到赛点学校报到，并抽取参赛次序号，根据参赛项目的要求，带齐参赛自备工具、材料，做好参赛前的所有准备工作。</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2、参赛选手要严格遵守赛场纪律，服从指挥，着装整洁，文明礼貌。选手的着装须符合操作要求，电工电子项目选手自备比赛工装、绝缘鞋等。</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3、比赛前一天，筹备处组织各领队和参赛选手熟悉设备场地。</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4、参赛选手须提前15分钟入场，入场时须出示参赛证和身份证，入场后对号入座。参赛证和身份证置于台桌左上角备查。迟到超过15分钟不得入场。</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5、在比赛过程中，要严格按照安全规程进行操作，防止触电和损坏设备等事故发生。比赛过程中如果所用设备发生故障，造成比赛中断，必须经评委确认后方能更换机位。故障中断时间由工作人员计时并补给。</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6、比赛过程中，电子电工各类设备装配完成后，要通电测试，必须先告知裁判，待裁判组检查确认后方可通电，确保比赛过程安全。比赛过程中，选手若需休息、饮水或去洗手间，一律计算在比赛时间内，饮水由赛场统一提供。</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7、如果选手要求提前结束比赛，应报裁判批准。比赛终止时间由裁判记录在案，批准并通知提前结束比赛后，选手不得再进行任何加工。提前结束比赛的选手不准提前离开赛场。</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8、当听到比赛结束指令时，参赛选手应立即停止操作，不得以任何理由拖延比赛时间。离开比赛场地时，不得将赛场内与比赛有关的任何物品带离比赛现场。</w:t>
      </w:r>
    </w:p>
    <w:p>
      <w:pPr>
        <w:keepNext w:val="0"/>
        <w:keepLines w:val="0"/>
        <w:pageBreakBefore w:val="0"/>
        <w:kinsoku/>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（三）评委须知</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1、评委必须认真学习文件精神，认真研究《比赛规程与要求》，熟练掌握比赛评分标准与要求。</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2、评委要正确履行职责，坚持原则，自觉排除干扰，保证比赛公平、公正。</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3、评委要积极维护好比赛秩序，以利于所有参赛选手水平的正常发挥。</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4、评委要坚守岗位，不得擅离职守，要严密观察比赛中的技术与安全问题，做到防患于未然。</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5、评委要自觉按执委会的要求进行评判工作。</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6、评委在赛前不接待参赛校的咨询，不到学校进行指导。</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7、评委在比赛中不回答选手提出的任何有关比赛的技术问题。</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8、评委要严守机密，未经比赛执委会的允许不得向学校或个人泄漏任何涉及比赛机密的事项，否则将追究个人责任。</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（四）竞赛工作人员须知</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1、大赛全体工作人员必须服从执委会统一指挥，认真履行职责，做好比赛服务工作。</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2、全体工作人员要按分工准时到岗，尽职尽责做好份内各项工作，保证比赛顺利进行。</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3、认真检查、核准证件，非参赛选手不准进入赛场。同时，要安排好领队、指导教师休息及食宿。</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4、比赛如出现技术问题（包括设备、器材等）应与各项比赛负责人及时联系，及时处理；如需重新比赛要得到执委会同意后方可进行。</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5、如遇突发事件，要及时向执委会报告，同时做好疏导工作，避免重大事故发生，确保大赛圆满成功。</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6、要认真组织好参赛选手的点名报到与赛前的准备工作，维护好比赛秩序，遇到重大问题及时与执委会联系协商解决办法。</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7、各项比赛项目的技术负责人，在比赛前、比赛进行中一定要坚守岗位，要对比赛全程的技术问题负责。</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8、工作人员不要在赛场内接打电话，负责监场的人员在比赛进行时一律关闭手机。</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（五）赛场规则</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1、参赛队的参赛顺序采取随机抽签的方式确定。</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2、参赛队按照参赛时段进入比赛场地，参赛选手按照报名项目参加比赛，竞赛内容均在场地内完成。</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（六）选手报到须知</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所有参赛选手必须于规定时间内到兰州理工中等专业学校报到，抽取竞赛序号，参加赛前准备会，熟悉场地。参赛选手严格根据抽签确定的分组顺序参加比赛，赛前15分钟选手必须到达赛场。</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五、兰州理工中等专业学校简介（见相关文档）</w:t>
      </w:r>
    </w:p>
    <w:p>
      <w:pPr>
        <w:keepNext w:val="0"/>
        <w:keepLines w:val="0"/>
        <w:pageBreakBefore w:val="0"/>
        <w:kinsoku/>
        <w:wordWrap w:val="0"/>
        <w:overflowPunct/>
        <w:topLinePunct w:val="0"/>
        <w:autoSpaceDE/>
        <w:autoSpaceDN/>
        <w:bidi w:val="0"/>
        <w:snapToGrid w:val="0"/>
        <w:spacing w:beforeAutospacing="0" w:afterAutospacing="0" w:line="600" w:lineRule="exact"/>
        <w:ind w:firstLine="480" w:firstLineChars="200"/>
        <w:rPr>
          <w:rFonts w:hint="eastAsia" w:ascii="宋体" w:hAnsi="宋体" w:eastAsia="宋体"/>
          <w:kern w:val="0"/>
          <w:sz w:val="24"/>
          <w:szCs w:val="24"/>
        </w:rPr>
      </w:pPr>
      <w:r>
        <w:rPr>
          <w:rFonts w:hint="eastAsia" w:ascii="宋体" w:hAnsi="宋体" w:eastAsia="宋体"/>
          <w:kern w:val="0"/>
          <w:sz w:val="24"/>
          <w:szCs w:val="24"/>
        </w:rPr>
        <w:t>六、安全保卫预案（见相关文档））</w:t>
      </w:r>
    </w:p>
    <w:p>
      <w:pPr>
        <w:keepNext w:val="0"/>
        <w:keepLines w:val="0"/>
        <w:pageBreakBefore w:val="0"/>
        <w:kinsoku/>
        <w:overflowPunct/>
        <w:topLinePunct w:val="0"/>
        <w:autoSpaceDE/>
        <w:autoSpaceDN/>
        <w:bidi w:val="0"/>
        <w:spacing w:beforeAutospacing="0" w:afterAutospacing="0" w:line="600" w:lineRule="exact"/>
        <w:rPr>
          <w:rFonts w:hint="eastAsia" w:ascii="宋体" w:hAnsi="宋体" w:eastAsia="宋体"/>
          <w:sz w:val="24"/>
          <w:szCs w:val="24"/>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cumentProtection w:enforcement="0"/>
  <w:defaultTabStop w:val="420"/>
  <w:displayHorizontalDrawingGridEvery w:val="0"/>
  <w:displayVerticalDrawingGridEvery w:val="2"/>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N2Q3OTlmYWVkNjg2MTRkOGU2N2YyZmQ3MGQ2ZjMyNzMifQ=="/>
  </w:docVars>
  <w:rsids>
    <w:rsidRoot w:val="00000000"/>
    <w:rsid w:val="0CBD11C9"/>
    <w:rsid w:val="35417A73"/>
    <w:rsid w:val="50461F8A"/>
    <w:rsid w:val="5E39312E"/>
    <w:rsid w:val="79C618C2"/>
    <w:rsid w:val="7C6B67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uiPriority w:val="0"/>
  </w:style>
  <w:style w:type="table" w:customStyle="1" w:styleId="5">
    <w:name w:val="普通表格1"/>
    <w:semiHidden/>
    <w:qFormat/>
    <w:uiPriority w:val="0"/>
  </w:style>
  <w:style w:type="paragraph" w:customStyle="1" w:styleId="6">
    <w:name w:val="普通(网站)1"/>
    <w:basedOn w:val="1"/>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22</TotalTime>
  <ScaleCrop>false</ScaleCrop>
  <LinksUpToDate>false</LinksUpToDate>
  <CharactersWithSpaces>0</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2023-10-18T12:39:08Z</dcterms:created>
  <dc:creator>lily</dc:creator>
  <cp:lastModifiedBy>lily</cp:lastModifiedBy>
  <dcterms:modified xsi:type="dcterms:W3CDTF">2023-10-18T13:02:30Z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E139568BDAC742518380ADCBDB28A214_12</vt:lpwstr>
  </property>
</Properties>
</file>