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00" w:after="0" w:line="300" w:lineRule="auto"/>
        <w:jc w:val="center"/>
        <w:rPr>
          <w:rFonts w:hint="eastAsia" w:ascii="黑体" w:hAnsi="黑体" w:eastAsia="黑体" w:cs="黑体"/>
          <w:b/>
          <w:sz w:val="36"/>
          <w:szCs w:val="36"/>
        </w:rPr>
      </w:pPr>
      <w:r>
        <w:rPr>
          <w:rFonts w:hint="eastAsia" w:ascii="黑体" w:hAnsi="黑体" w:eastAsia="黑体" w:cs="黑体"/>
          <w:b/>
          <w:bCs/>
          <w:sz w:val="36"/>
          <w:szCs w:val="36"/>
        </w:rPr>
        <w:fldChar w:fldCharType="begin"/>
      </w:r>
      <w:r>
        <w:rPr>
          <w:rFonts w:hint="eastAsia" w:ascii="黑体" w:hAnsi="黑体" w:eastAsia="黑体" w:cs="黑体"/>
          <w:b/>
          <w:bCs/>
          <w:sz w:val="36"/>
          <w:szCs w:val="36"/>
        </w:rPr>
        <w:instrText xml:space="preserve">ADDIN CNKISM.UserStyle</w:instrText>
      </w:r>
      <w:r>
        <w:rPr>
          <w:rFonts w:hint="eastAsia" w:ascii="黑体" w:hAnsi="黑体" w:eastAsia="黑体" w:cs="黑体"/>
          <w:b/>
          <w:bCs/>
          <w:sz w:val="36"/>
          <w:szCs w:val="36"/>
        </w:rPr>
        <w:fldChar w:fldCharType="end"/>
      </w:r>
      <w:r>
        <w:rPr>
          <w:rFonts w:hint="eastAsia" w:ascii="黑体" w:hAnsi="黑体" w:eastAsia="黑体" w:cs="黑体"/>
          <w:b/>
          <w:bCs/>
          <w:sz w:val="36"/>
          <w:szCs w:val="36"/>
        </w:rPr>
        <w:t>202</w:t>
      </w:r>
      <w:r>
        <w:rPr>
          <w:rFonts w:hint="eastAsia" w:ascii="黑体" w:hAnsi="黑体" w:eastAsia="黑体" w:cs="黑体"/>
          <w:b/>
          <w:bCs/>
          <w:sz w:val="36"/>
          <w:szCs w:val="36"/>
          <w:lang w:val="en-US" w:eastAsia="zh-CN"/>
        </w:rPr>
        <w:t>4</w:t>
      </w:r>
      <w:r>
        <w:rPr>
          <w:rFonts w:hint="eastAsia" w:ascii="黑体" w:hAnsi="黑体" w:eastAsia="黑体" w:cs="黑体"/>
          <w:b/>
          <w:bCs/>
          <w:sz w:val="36"/>
          <w:szCs w:val="36"/>
        </w:rPr>
        <w:t>年</w:t>
      </w:r>
      <w:r>
        <w:rPr>
          <w:rFonts w:hint="eastAsia" w:ascii="黑体" w:hAnsi="黑体" w:eastAsia="黑体" w:cs="黑体"/>
          <w:b/>
          <w:bCs/>
          <w:sz w:val="36"/>
          <w:szCs w:val="36"/>
          <w:lang w:val="en-US" w:eastAsia="zh-CN"/>
        </w:rPr>
        <w:t>兰州市</w:t>
      </w:r>
      <w:r>
        <w:rPr>
          <w:rFonts w:hint="eastAsia" w:ascii="黑体" w:hAnsi="黑体" w:eastAsia="黑体" w:cs="黑体"/>
          <w:b/>
          <w:bCs/>
          <w:sz w:val="36"/>
          <w:szCs w:val="36"/>
        </w:rPr>
        <w:t xml:space="preserve">职业院校技能大赛中职组  </w:t>
      </w:r>
      <w:r>
        <w:rPr>
          <w:rFonts w:hint="eastAsia" w:ascii="黑体" w:hAnsi="黑体" w:eastAsia="黑体" w:cs="黑体"/>
          <w:b/>
          <w:sz w:val="36"/>
          <w:szCs w:val="36"/>
        </w:rPr>
        <w:t xml:space="preserve">  </w:t>
      </w:r>
    </w:p>
    <w:p>
      <w:pPr>
        <w:snapToGrid w:val="0"/>
        <w:spacing w:line="560" w:lineRule="exact"/>
        <w:jc w:val="center"/>
        <w:rPr>
          <w:rFonts w:hint="eastAsia" w:ascii="黑体" w:hAnsi="黑体" w:eastAsia="黑体" w:cs="黑体"/>
          <w:b/>
          <w:sz w:val="36"/>
          <w:szCs w:val="36"/>
        </w:rPr>
      </w:pPr>
      <w:r>
        <w:rPr>
          <w:rFonts w:hint="eastAsia" w:ascii="黑体" w:hAnsi="黑体" w:eastAsia="黑体" w:cs="黑体"/>
          <w:b/>
          <w:sz w:val="36"/>
          <w:szCs w:val="36"/>
        </w:rPr>
        <w:t>“数控铣加工技术”赛项竞赛规程</w:t>
      </w:r>
    </w:p>
    <w:p>
      <w:pPr>
        <w:snapToGrid w:val="0"/>
        <w:spacing w:line="56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rPr>
        <w:t>一、赛项名称</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赛项名称：数控铣加工技术</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赛项组别：中职学生组</w:t>
      </w:r>
    </w:p>
    <w:p>
      <w:pPr>
        <w:tabs>
          <w:tab w:val="center" w:pos="4433"/>
        </w:tabs>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赛项归属产业：加工制造类</w:t>
      </w:r>
    </w:p>
    <w:p>
      <w:pPr>
        <w:snapToGrid w:val="0"/>
        <w:spacing w:line="56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rPr>
        <w:t>二、竞赛目的</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通过竞赛，检验和展示中职院校数控铣加工技术等相关专业的教学改革成果以及学生的通用技术与职业能力，考察学生基于工作过程的质量、效率、成本、安全环保意识、计划组织的综合职业能力，引领和促进中职院校与赛项相关专业的教学改革，深化校企合作，提升产教融合深度，服务产业发展，推进中职院校培养适应企业需求的高素质技术技能型人才的水平。</w:t>
      </w:r>
    </w:p>
    <w:p>
      <w:pPr>
        <w:spacing w:line="50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rPr>
        <w:t>三、竞赛内容</w:t>
      </w:r>
    </w:p>
    <w:p>
      <w:pPr>
        <w:spacing w:line="560" w:lineRule="exact"/>
        <w:ind w:firstLine="560" w:firstLineChars="200"/>
        <w:rPr>
          <w:rFonts w:hint="eastAsia" w:ascii="仿宋" w:hAnsi="仿宋" w:eastAsia="仿宋" w:cs="仿宋"/>
          <w:bCs/>
          <w:kern w:val="0"/>
          <w:sz w:val="28"/>
          <w:szCs w:val="28"/>
        </w:rPr>
      </w:pPr>
      <w:r>
        <w:rPr>
          <w:rFonts w:hint="eastAsia" w:ascii="仿宋" w:hAnsi="仿宋" w:eastAsia="仿宋" w:cs="仿宋"/>
          <w:sz w:val="28"/>
          <w:szCs w:val="28"/>
        </w:rPr>
        <w:t>（一）</w:t>
      </w:r>
      <w:r>
        <w:rPr>
          <w:rFonts w:hint="eastAsia" w:ascii="仿宋" w:hAnsi="仿宋" w:eastAsia="仿宋" w:cs="仿宋"/>
          <w:bCs/>
          <w:kern w:val="0"/>
          <w:sz w:val="28"/>
          <w:szCs w:val="28"/>
        </w:rPr>
        <w:t>竞赛内容</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数控铣加工技术技能竞赛</w:t>
      </w:r>
      <w:r>
        <w:rPr>
          <w:rFonts w:hint="eastAsia" w:ascii="仿宋" w:hAnsi="仿宋" w:eastAsia="仿宋" w:cs="仿宋"/>
          <w:sz w:val="28"/>
          <w:szCs w:val="28"/>
          <w:lang w:val="en-US" w:eastAsia="zh-CN"/>
        </w:rPr>
        <w:t>以</w:t>
      </w:r>
      <w:r>
        <w:rPr>
          <w:rFonts w:hint="eastAsia" w:ascii="仿宋" w:hAnsi="仿宋" w:eastAsia="仿宋" w:cs="仿宋"/>
          <w:sz w:val="28"/>
          <w:szCs w:val="28"/>
        </w:rPr>
        <w:t>操作技能竞赛</w:t>
      </w:r>
      <w:r>
        <w:rPr>
          <w:rFonts w:hint="eastAsia" w:ascii="仿宋" w:hAnsi="仿宋" w:eastAsia="仿宋" w:cs="仿宋"/>
          <w:sz w:val="28"/>
          <w:szCs w:val="28"/>
          <w:lang w:val="en-US" w:eastAsia="zh-CN"/>
        </w:rPr>
        <w:t>为主</w:t>
      </w:r>
      <w:r>
        <w:rPr>
          <w:rFonts w:hint="eastAsia" w:ascii="仿宋" w:hAnsi="仿宋" w:eastAsia="仿宋" w:cs="仿宋"/>
          <w:sz w:val="28"/>
          <w:szCs w:val="28"/>
        </w:rPr>
        <w:t>，实践</w:t>
      </w:r>
      <w:r>
        <w:rPr>
          <w:rFonts w:hint="eastAsia" w:ascii="仿宋" w:hAnsi="仿宋" w:eastAsia="仿宋" w:cs="仿宋"/>
          <w:sz w:val="28"/>
          <w:szCs w:val="28"/>
          <w:lang w:val="en-US" w:eastAsia="zh-CN"/>
        </w:rPr>
        <w:t>80</w:t>
      </w:r>
      <w:r>
        <w:rPr>
          <w:rFonts w:hint="eastAsia" w:ascii="仿宋" w:hAnsi="仿宋" w:eastAsia="仿宋" w:cs="仿宋"/>
          <w:sz w:val="28"/>
          <w:szCs w:val="28"/>
        </w:rPr>
        <w:t>%，职业素养</w:t>
      </w:r>
      <w:r>
        <w:rPr>
          <w:rFonts w:hint="eastAsia" w:ascii="仿宋" w:hAnsi="仿宋" w:eastAsia="仿宋" w:cs="仿宋"/>
          <w:sz w:val="28"/>
          <w:szCs w:val="28"/>
          <w:lang w:val="en-US" w:eastAsia="zh-CN"/>
        </w:rPr>
        <w:t>20</w:t>
      </w:r>
      <w:r>
        <w:rPr>
          <w:rFonts w:hint="eastAsia" w:ascii="仿宋" w:hAnsi="仿宋" w:eastAsia="仿宋" w:cs="仿宋"/>
          <w:sz w:val="28"/>
          <w:szCs w:val="28"/>
        </w:rPr>
        <w:t>%。操作技能竞赛考察选手机械加工工艺能力、数控铣</w:t>
      </w:r>
      <w:r>
        <w:rPr>
          <w:rFonts w:hint="eastAsia" w:ascii="仿宋" w:hAnsi="仿宋" w:eastAsia="仿宋" w:cs="仿宋"/>
          <w:sz w:val="28"/>
          <w:szCs w:val="28"/>
          <w:lang w:eastAsia="zh-CN"/>
        </w:rPr>
        <w:t>床</w:t>
      </w:r>
      <w:r>
        <w:rPr>
          <w:rFonts w:hint="eastAsia" w:ascii="仿宋" w:hAnsi="仿宋" w:eastAsia="仿宋" w:cs="仿宋"/>
          <w:sz w:val="28"/>
          <w:szCs w:val="28"/>
        </w:rPr>
        <w:t>编程能力、合理使用加工刀具能力、合理选择加工参数能力，以及运用专业知识均衡处理质量、效率、成本的综合能力，强化选手的安全和环保意识，在</w:t>
      </w:r>
      <w:r>
        <w:rPr>
          <w:rFonts w:hint="eastAsia" w:ascii="仿宋" w:hAnsi="仿宋" w:eastAsia="仿宋" w:cs="仿宋"/>
          <w:sz w:val="28"/>
          <w:szCs w:val="28"/>
          <w:lang w:val="en-US" w:eastAsia="zh-CN"/>
        </w:rPr>
        <w:t>3</w:t>
      </w:r>
      <w:r>
        <w:rPr>
          <w:rFonts w:hint="eastAsia" w:ascii="仿宋" w:hAnsi="仿宋" w:eastAsia="仿宋" w:cs="仿宋"/>
          <w:sz w:val="28"/>
          <w:szCs w:val="28"/>
        </w:rPr>
        <w:t>个小时内完成。具体内容如下：</w:t>
      </w:r>
    </w:p>
    <w:p>
      <w:pPr>
        <w:spacing w:line="560" w:lineRule="exact"/>
        <w:ind w:firstLine="560" w:firstLineChars="200"/>
        <w:rPr>
          <w:rFonts w:hint="eastAsia" w:ascii="仿宋" w:hAnsi="仿宋" w:eastAsia="仿宋" w:cs="仿宋"/>
          <w:bCs/>
          <w:kern w:val="0"/>
          <w:sz w:val="28"/>
          <w:szCs w:val="28"/>
        </w:rPr>
      </w:pPr>
      <w:r>
        <w:rPr>
          <w:rFonts w:hint="eastAsia" w:ascii="仿宋" w:hAnsi="仿宋" w:eastAsia="仿宋" w:cs="仿宋"/>
          <w:bCs/>
          <w:kern w:val="0"/>
          <w:sz w:val="28"/>
          <w:szCs w:val="28"/>
          <w:lang w:val="en-US" w:eastAsia="zh-CN"/>
        </w:rPr>
        <w:t>1</w:t>
      </w:r>
      <w:r>
        <w:rPr>
          <w:rFonts w:hint="eastAsia" w:ascii="仿宋" w:hAnsi="仿宋" w:eastAsia="仿宋" w:cs="仿宋"/>
          <w:bCs/>
          <w:kern w:val="0"/>
          <w:sz w:val="28"/>
          <w:szCs w:val="28"/>
        </w:rPr>
        <w:t>.操作技能竞赛</w:t>
      </w:r>
    </w:p>
    <w:p>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操作技能竞赛考查参赛队机械加工工艺能力、</w:t>
      </w:r>
      <w:r>
        <w:rPr>
          <w:rFonts w:hint="eastAsia" w:ascii="仿宋" w:hAnsi="仿宋" w:eastAsia="仿宋" w:cs="仿宋"/>
          <w:sz w:val="28"/>
          <w:szCs w:val="28"/>
          <w:lang w:eastAsia="zh-CN"/>
        </w:rPr>
        <w:t>数控铣床</w:t>
      </w:r>
      <w:r>
        <w:rPr>
          <w:rFonts w:hint="eastAsia" w:ascii="仿宋" w:hAnsi="仿宋" w:eastAsia="仿宋" w:cs="仿宋"/>
          <w:sz w:val="28"/>
          <w:szCs w:val="28"/>
        </w:rPr>
        <w:t>编程能力、合理使用刀量具能力、合理选择加工参数能力，以及运用专业知识均衡处理质量、效率、成本的综合能力，强调考查参赛队的安全环保意识和职业素养。参赛队在操作赛场利用赛场提供的数控铣机床、夹具、工具、计算机及CAM软件，按照任务书要求，以现场操作的方式完成赛件的加工、检测及装配等任务，并填写相关技术文件。</w:t>
      </w:r>
    </w:p>
    <w:p>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（1）独立赛件加工：根据任务书利用现场提供的</w:t>
      </w:r>
      <w:r>
        <w:rPr>
          <w:rFonts w:hint="eastAsia" w:ascii="仿宋" w:hAnsi="仿宋" w:eastAsia="仿宋" w:cs="仿宋"/>
          <w:sz w:val="28"/>
          <w:szCs w:val="28"/>
          <w:lang w:eastAsia="zh-CN"/>
        </w:rPr>
        <w:t>华中数控铣</w:t>
      </w:r>
      <w:r>
        <w:rPr>
          <w:rFonts w:hint="eastAsia" w:ascii="仿宋" w:hAnsi="仿宋" w:eastAsia="仿宋" w:cs="仿宋"/>
          <w:sz w:val="28"/>
          <w:szCs w:val="28"/>
        </w:rPr>
        <w:t>床、CAD/CAM软件和毛坯（一件）等，按图纸要求完成独立赛件加工。</w:t>
      </w:r>
    </w:p>
    <w:p>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（2）赛件检验：根据任务书中提供的资料和要求，确定检测方案与检测方法，合理选用量具，按照检测任务书要求进行检测，填写检测结果。</w:t>
      </w:r>
    </w:p>
    <w:p>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职业素养：将从操作设备的规范性、工量刃具的放置及使用、现场安全文明生产及安全防护（含工作服、工作鞋、工作帽、护目镜的穿戴）、完成任务的计划条理性及遇到问题时的应对状况、尊重赛场工作人员、爱惜赛场的设备和器材、保持赛位的整洁等方面进行考核。</w:t>
      </w:r>
    </w:p>
    <w:p>
      <w:pPr>
        <w:pStyle w:val="23"/>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（二）竞赛时间</w:t>
      </w:r>
    </w:p>
    <w:p>
      <w:pPr>
        <w:pStyle w:val="23"/>
        <w:spacing w:line="560" w:lineRule="exact"/>
        <w:ind w:firstLine="0" w:firstLineChars="0"/>
        <w:rPr>
          <w:rFonts w:hint="eastAsia" w:ascii="仿宋" w:hAnsi="仿宋" w:eastAsia="仿宋" w:cs="仿宋"/>
          <w:color w:val="FF0000"/>
          <w:sz w:val="28"/>
          <w:szCs w:val="28"/>
        </w:rPr>
      </w:pPr>
      <w:r>
        <w:rPr>
          <w:rFonts w:hint="eastAsia" w:ascii="仿宋" w:hAnsi="仿宋" w:eastAsia="仿宋" w:cs="仿宋"/>
          <w:sz w:val="28"/>
          <w:szCs w:val="28"/>
        </w:rPr>
        <w:t>实践</w:t>
      </w:r>
      <w:r>
        <w:rPr>
          <w:rFonts w:hint="eastAsia" w:ascii="仿宋" w:hAnsi="仿宋" w:eastAsia="仿宋" w:cs="仿宋"/>
          <w:kern w:val="2"/>
          <w:sz w:val="28"/>
          <w:szCs w:val="28"/>
          <w:lang w:val="en-US" w:eastAsia="zh-CN" w:bidi="ar-SA"/>
        </w:rPr>
        <w:t>：180分钟</w:t>
      </w:r>
    </w:p>
    <w:p>
      <w:pPr>
        <w:spacing w:line="56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lang w:eastAsia="zh-CN"/>
        </w:rPr>
        <w:t>四</w:t>
      </w:r>
      <w:r>
        <w:rPr>
          <w:rFonts w:hint="eastAsia" w:ascii="仿宋" w:hAnsi="仿宋" w:eastAsia="仿宋" w:cs="仿宋"/>
          <w:b/>
          <w:sz w:val="28"/>
          <w:szCs w:val="28"/>
        </w:rPr>
        <w:t>、竞赛方式规则</w:t>
      </w:r>
    </w:p>
    <w:p>
      <w:pPr>
        <w:spacing w:line="560" w:lineRule="exact"/>
        <w:ind w:left="559" w:leftChars="266" w:firstLine="0" w:firstLineChars="0"/>
        <w:jc w:val="left"/>
        <w:rPr>
          <w:rFonts w:hint="eastAsia" w:ascii="仿宋" w:hAnsi="仿宋" w:eastAsia="仿宋" w:cs="仿宋"/>
          <w:sz w:val="28"/>
          <w:szCs w:val="28"/>
        </w:rPr>
      </w:pPr>
      <w:r>
        <w:rPr>
          <w:rFonts w:hint="eastAsia" w:ascii="仿宋" w:hAnsi="仿宋" w:eastAsia="仿宋" w:cs="仿宋"/>
          <w:sz w:val="28"/>
          <w:szCs w:val="28"/>
        </w:rPr>
        <w:t>（一）竞赛以个人赛方式进行。</w:t>
      </w:r>
      <w:r>
        <w:rPr>
          <w:rFonts w:hint="eastAsia" w:ascii="仿宋" w:hAnsi="仿宋" w:eastAsia="仿宋" w:cs="仿宋"/>
          <w:sz w:val="28"/>
          <w:szCs w:val="28"/>
        </w:rPr>
        <w:br w:type="textWrapping"/>
      </w:r>
      <w:r>
        <w:rPr>
          <w:rFonts w:hint="eastAsia" w:ascii="仿宋" w:hAnsi="仿宋" w:eastAsia="仿宋" w:cs="仿宋"/>
          <w:sz w:val="28"/>
          <w:szCs w:val="28"/>
        </w:rPr>
        <w:t>（二）组织机构：在兰州市职业院校技能大赛组委会与执委会的指导下，在赛区组委会与执委会的领导下，下设本赛项专家组、裁判组、仲裁组等工作机构。</w:t>
      </w:r>
      <w:r>
        <w:rPr>
          <w:rFonts w:hint="eastAsia" w:ascii="仿宋" w:hAnsi="仿宋" w:eastAsia="仿宋" w:cs="仿宋"/>
          <w:sz w:val="28"/>
          <w:szCs w:val="28"/>
        </w:rPr>
        <w:br w:type="textWrapping"/>
      </w:r>
      <w:r>
        <w:rPr>
          <w:rFonts w:hint="eastAsia" w:ascii="仿宋" w:hAnsi="仿宋" w:eastAsia="仿宋" w:cs="仿宋"/>
          <w:sz w:val="28"/>
          <w:szCs w:val="28"/>
        </w:rPr>
        <w:t>（三）竞赛如需采取多场次进行，由赛项执委会按照竞赛日程表组织各领队参加公开抽签，确定各队参赛场次。参赛选手按照抽签确定的参赛时段分批次进入比赛场地参赛。同一参赛队多名选手应安排在同一场次。东道主选手安排在首场比赛。</w:t>
      </w:r>
      <w:r>
        <w:rPr>
          <w:rFonts w:hint="eastAsia" w:ascii="仿宋" w:hAnsi="仿宋" w:eastAsia="仿宋" w:cs="仿宋"/>
          <w:sz w:val="28"/>
          <w:szCs w:val="28"/>
        </w:rPr>
        <w:br w:type="textWrapping"/>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（四）赛场的赛位统一编制赛位号，参赛选手比赛前60分钟到赛项指定地点接受检录，抽签决定赛位号、抽取工件加密暗码。赛位号由参赛选手抽取，步聚如下：</w:t>
      </w:r>
      <w:r>
        <w:rPr>
          <w:rFonts w:hint="eastAsia" w:ascii="仿宋" w:hAnsi="仿宋" w:eastAsia="仿宋" w:cs="仿宋"/>
          <w:sz w:val="28"/>
          <w:szCs w:val="28"/>
        </w:rPr>
        <w:br w:type="textWrapping"/>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1.抽签由检录裁判和赛场工作人员主持，监督员现场监督；</w:t>
      </w:r>
      <w:r>
        <w:rPr>
          <w:rFonts w:hint="eastAsia" w:ascii="仿宋" w:hAnsi="仿宋" w:eastAsia="仿宋" w:cs="仿宋"/>
          <w:sz w:val="28"/>
          <w:szCs w:val="28"/>
        </w:rPr>
        <w:br w:type="textWrapping"/>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2.参赛选手随机抽取赛位号后，并在赛位记录单上签名确认；</w:t>
      </w:r>
      <w:r>
        <w:rPr>
          <w:rFonts w:hint="eastAsia" w:ascii="仿宋" w:hAnsi="仿宋" w:eastAsia="仿宋" w:cs="仿宋"/>
          <w:sz w:val="28"/>
          <w:szCs w:val="28"/>
        </w:rPr>
        <w:br w:type="textWrapping"/>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3.参赛选手抽取工件加密暗码信封（两个内有相同编码的密闭信封），并在其中一个信封上签字确认。</w:t>
      </w:r>
      <w:r>
        <w:rPr>
          <w:rFonts w:hint="eastAsia" w:ascii="仿宋" w:hAnsi="仿宋" w:eastAsia="仿宋" w:cs="仿宋"/>
          <w:sz w:val="28"/>
          <w:szCs w:val="28"/>
        </w:rPr>
        <w:br w:type="textWrapping"/>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4.赛位号应保密，抽签结果和另一个暗码信封由加密裁判员和监督员共同封存在赛项办公室，在评分结束后开封统计成绩。</w:t>
      </w:r>
    </w:p>
    <w:p>
      <w:pPr>
        <w:widowControl/>
        <w:ind w:firstLine="843" w:firstLineChars="300"/>
        <w:jc w:val="left"/>
        <w:rPr>
          <w:rFonts w:hint="eastAsia" w:ascii="仿宋" w:hAnsi="仿宋" w:eastAsia="仿宋" w:cs="仿宋"/>
          <w:sz w:val="28"/>
          <w:szCs w:val="28"/>
        </w:rPr>
      </w:pPr>
      <w:r>
        <w:rPr>
          <w:rFonts w:hint="eastAsia" w:ascii="仿宋" w:hAnsi="仿宋" w:eastAsia="仿宋" w:cs="仿宋"/>
          <w:b/>
          <w:color w:val="000000"/>
          <w:kern w:val="0"/>
          <w:sz w:val="28"/>
          <w:szCs w:val="28"/>
          <w:lang w:eastAsia="zh-CN" w:bidi="ar"/>
        </w:rPr>
        <w:t>五</w:t>
      </w:r>
      <w:r>
        <w:rPr>
          <w:rFonts w:hint="eastAsia" w:ascii="仿宋" w:hAnsi="仿宋" w:eastAsia="仿宋" w:cs="仿宋"/>
          <w:b/>
          <w:color w:val="000000"/>
          <w:kern w:val="0"/>
          <w:sz w:val="28"/>
          <w:szCs w:val="28"/>
          <w:lang w:bidi="ar"/>
        </w:rPr>
        <w:t xml:space="preserve">、竞赛环境 </w:t>
      </w:r>
    </w:p>
    <w:p>
      <w:pPr>
        <w:snapToGrid w:val="0"/>
        <w:spacing w:line="560" w:lineRule="exact"/>
        <w:ind w:left="559" w:leftChars="266" w:firstLine="280" w:firstLineChars="100"/>
        <w:rPr>
          <w:rFonts w:hint="eastAsia" w:ascii="仿宋" w:hAnsi="仿宋" w:eastAsia="仿宋" w:cs="仿宋"/>
          <w:sz w:val="28"/>
          <w:szCs w:val="28"/>
        </w:rPr>
      </w:pPr>
      <w:r>
        <w:rPr>
          <w:rFonts w:hint="eastAsia" w:ascii="仿宋" w:hAnsi="仿宋" w:eastAsia="仿宋" w:cs="仿宋"/>
          <w:sz w:val="28"/>
          <w:szCs w:val="28"/>
        </w:rPr>
        <w:t>1．竞赛场地</w:t>
      </w:r>
      <w:r>
        <w:rPr>
          <w:rFonts w:hint="eastAsia" w:ascii="仿宋" w:hAnsi="仿宋" w:eastAsia="仿宋" w:cs="仿宋"/>
          <w:sz w:val="28"/>
          <w:szCs w:val="28"/>
        </w:rPr>
        <w:br w:type="textWrapping"/>
      </w:r>
      <w:r>
        <w:rPr>
          <w:rFonts w:hint="eastAsia" w:ascii="仿宋" w:hAnsi="仿宋" w:eastAsia="仿宋" w:cs="仿宋"/>
          <w:sz w:val="28"/>
          <w:szCs w:val="28"/>
        </w:rPr>
        <w:t>（1）竞赛地点：</w:t>
      </w:r>
      <w:r>
        <w:rPr>
          <w:rFonts w:hint="eastAsia" w:ascii="仿宋" w:hAnsi="仿宋" w:eastAsia="仿宋" w:cs="仿宋"/>
          <w:sz w:val="28"/>
          <w:szCs w:val="28"/>
        </w:rPr>
        <w:br w:type="textWrapping"/>
      </w:r>
      <w:r>
        <w:rPr>
          <w:rFonts w:hint="eastAsia" w:ascii="仿宋" w:hAnsi="仿宋" w:eastAsia="仿宋" w:cs="仿宋"/>
          <w:sz w:val="28"/>
          <w:szCs w:val="28"/>
        </w:rPr>
        <w:t>（2）考场面积：每位选手一般不少于10m2；每个操作工位不少于6m2。</w:t>
      </w:r>
      <w:r>
        <w:rPr>
          <w:rFonts w:hint="eastAsia" w:ascii="仿宋" w:hAnsi="仿宋" w:eastAsia="仿宋" w:cs="仿宋"/>
          <w:sz w:val="28"/>
          <w:szCs w:val="28"/>
        </w:rPr>
        <w:br w:type="textWrapping"/>
      </w:r>
      <w:r>
        <w:rPr>
          <w:rFonts w:hint="eastAsia" w:ascii="仿宋" w:hAnsi="仿宋" w:eastAsia="仿宋" w:cs="仿宋"/>
          <w:sz w:val="28"/>
          <w:szCs w:val="28"/>
        </w:rPr>
        <w:t>（3）每个工位应标明工位编号。</w:t>
      </w:r>
      <w:r>
        <w:rPr>
          <w:rFonts w:hint="eastAsia" w:ascii="仿宋" w:hAnsi="仿宋" w:eastAsia="仿宋" w:cs="仿宋"/>
          <w:sz w:val="28"/>
          <w:szCs w:val="28"/>
        </w:rPr>
        <w:br w:type="textWrapping"/>
      </w:r>
      <w:r>
        <w:rPr>
          <w:rFonts w:hint="eastAsia" w:ascii="仿宋" w:hAnsi="仿宋" w:eastAsia="仿宋" w:cs="仿宋"/>
          <w:sz w:val="28"/>
          <w:szCs w:val="28"/>
        </w:rPr>
        <w:t>（4）每个工位配有约0.6平方米的台面供选手书写、摆放工、量、刃具用。</w:t>
      </w:r>
      <w:r>
        <w:rPr>
          <w:rFonts w:hint="eastAsia" w:ascii="仿宋" w:hAnsi="仿宋" w:eastAsia="仿宋" w:cs="仿宋"/>
          <w:sz w:val="28"/>
          <w:szCs w:val="28"/>
        </w:rPr>
        <w:br w:type="textWrapping"/>
      </w:r>
      <w:r>
        <w:rPr>
          <w:rFonts w:hint="eastAsia" w:ascii="仿宋" w:hAnsi="仿宋" w:eastAsia="仿宋" w:cs="仿宋"/>
          <w:sz w:val="28"/>
          <w:szCs w:val="28"/>
        </w:rPr>
        <w:t>（5）安全通道宽度不小于2m。</w:t>
      </w:r>
      <w:r>
        <w:rPr>
          <w:rFonts w:hint="eastAsia" w:ascii="仿宋" w:hAnsi="仿宋" w:eastAsia="仿宋" w:cs="仿宋"/>
          <w:sz w:val="28"/>
          <w:szCs w:val="28"/>
        </w:rPr>
        <w:br w:type="textWrapping"/>
      </w:r>
      <w:r>
        <w:rPr>
          <w:rFonts w:hint="eastAsia" w:ascii="仿宋" w:hAnsi="仿宋" w:eastAsia="仿宋" w:cs="仿宋"/>
          <w:sz w:val="28"/>
          <w:szCs w:val="28"/>
        </w:rPr>
        <w:t>（6）考场电源功率必须能够满足所有设备正常启动工作。</w:t>
      </w:r>
      <w:r>
        <w:rPr>
          <w:rFonts w:hint="eastAsia" w:ascii="仿宋" w:hAnsi="仿宋" w:eastAsia="仿宋" w:cs="仿宋"/>
          <w:sz w:val="28"/>
          <w:szCs w:val="28"/>
        </w:rPr>
        <w:br w:type="textWrapping"/>
      </w:r>
      <w:r>
        <w:rPr>
          <w:rFonts w:hint="eastAsia" w:ascii="仿宋" w:hAnsi="仿宋" w:eastAsia="仿宋" w:cs="仿宋"/>
          <w:sz w:val="28"/>
          <w:szCs w:val="28"/>
        </w:rPr>
        <w:t>（7）考场应配有相应数量的清洁工具。</w:t>
      </w:r>
      <w:r>
        <w:rPr>
          <w:rFonts w:hint="eastAsia" w:ascii="仿宋" w:hAnsi="仿宋" w:eastAsia="仿宋" w:cs="仿宋"/>
          <w:sz w:val="28"/>
          <w:szCs w:val="28"/>
        </w:rPr>
        <w:br w:type="textWrapping"/>
      </w:r>
      <w:r>
        <w:rPr>
          <w:rFonts w:hint="eastAsia" w:ascii="仿宋" w:hAnsi="仿宋" w:eastAsia="仿宋" w:cs="仿宋"/>
          <w:sz w:val="28"/>
          <w:szCs w:val="28"/>
        </w:rPr>
        <w:t>（8）每个赛场为本赛场的每个选手提供一套竞赛设备，并有一定数量备用设备，每台机床配一台微机，安装CAXA数控车2020版。</w:t>
      </w:r>
      <w:r>
        <w:rPr>
          <w:rFonts w:hint="eastAsia" w:ascii="仿宋" w:hAnsi="仿宋" w:eastAsia="仿宋" w:cs="仿宋"/>
          <w:sz w:val="28"/>
          <w:szCs w:val="28"/>
        </w:rPr>
        <w:br w:type="textWrapping"/>
      </w:r>
      <w:r>
        <w:rPr>
          <w:rFonts w:hint="eastAsia" w:ascii="仿宋" w:hAnsi="仿宋" w:eastAsia="仿宋" w:cs="仿宋"/>
          <w:sz w:val="28"/>
          <w:szCs w:val="28"/>
        </w:rPr>
        <w:t>（9）场地条件</w:t>
      </w:r>
      <w:r>
        <w:rPr>
          <w:rFonts w:hint="eastAsia" w:ascii="仿宋" w:hAnsi="仿宋" w:eastAsia="仿宋" w:cs="仿宋"/>
          <w:sz w:val="28"/>
          <w:szCs w:val="28"/>
        </w:rPr>
        <w:br w:type="textWrapping"/>
      </w:r>
      <w:r>
        <w:rPr>
          <w:rFonts w:hint="eastAsia" w:ascii="仿宋" w:hAnsi="仿宋" w:eastAsia="仿宋" w:cs="仿宋"/>
          <w:sz w:val="28"/>
          <w:szCs w:val="28"/>
        </w:rPr>
        <w:t>电：三相电源380V，100 kw，二相电源：5 kw</w:t>
      </w:r>
      <w:r>
        <w:rPr>
          <w:rFonts w:hint="eastAsia" w:ascii="仿宋" w:hAnsi="仿宋" w:eastAsia="仿宋" w:cs="仿宋"/>
          <w:sz w:val="28"/>
          <w:szCs w:val="28"/>
        </w:rPr>
        <w:br w:type="textWrapping"/>
      </w:r>
      <w:r>
        <w:rPr>
          <w:rFonts w:hint="eastAsia" w:ascii="仿宋" w:hAnsi="仿宋" w:eastAsia="仿宋" w:cs="仿宋"/>
          <w:sz w:val="28"/>
          <w:szCs w:val="28"/>
        </w:rPr>
        <w:t>水：清洁用水</w:t>
      </w:r>
      <w:r>
        <w:rPr>
          <w:rFonts w:hint="eastAsia" w:ascii="仿宋" w:hAnsi="仿宋" w:eastAsia="仿宋" w:cs="仿宋"/>
          <w:sz w:val="28"/>
          <w:szCs w:val="28"/>
        </w:rPr>
        <w:br w:type="textWrapping"/>
      </w:r>
      <w:r>
        <w:rPr>
          <w:rFonts w:hint="eastAsia" w:ascii="仿宋" w:hAnsi="仿宋" w:eastAsia="仿宋" w:cs="仿宋"/>
          <w:sz w:val="28"/>
          <w:szCs w:val="28"/>
        </w:rPr>
        <w:t>电缆：电缆能有效隐藏或处理，确保安全</w:t>
      </w:r>
      <w:r>
        <w:rPr>
          <w:rFonts w:hint="eastAsia" w:ascii="仿宋" w:hAnsi="仿宋" w:eastAsia="仿宋" w:cs="仿宋"/>
          <w:sz w:val="28"/>
          <w:szCs w:val="28"/>
        </w:rPr>
        <w:br w:type="textWrapping"/>
      </w:r>
      <w:r>
        <w:rPr>
          <w:rFonts w:hint="eastAsia" w:ascii="仿宋" w:hAnsi="仿宋" w:eastAsia="仿宋" w:cs="仿宋"/>
          <w:sz w:val="28"/>
          <w:szCs w:val="28"/>
        </w:rPr>
        <w:t>污染：噪音60—70分贝/(单机，2m距离)，少量的油污和振动</w:t>
      </w:r>
      <w:r>
        <w:rPr>
          <w:rFonts w:hint="eastAsia" w:ascii="仿宋" w:hAnsi="仿宋" w:eastAsia="仿宋" w:cs="仿宋"/>
          <w:sz w:val="28"/>
          <w:szCs w:val="28"/>
        </w:rPr>
        <w:br w:type="textWrapping"/>
      </w:r>
      <w:r>
        <w:rPr>
          <w:rFonts w:hint="eastAsia" w:ascii="仿宋" w:hAnsi="仿宋" w:eastAsia="仿宋" w:cs="仿宋"/>
          <w:sz w:val="28"/>
          <w:szCs w:val="28"/>
        </w:rPr>
        <w:t>2．</w:t>
      </w:r>
      <w:r>
        <w:rPr>
          <w:rFonts w:hint="eastAsia" w:ascii="仿宋" w:hAnsi="仿宋" w:eastAsia="仿宋" w:cs="仿宋"/>
          <w:sz w:val="28"/>
          <w:szCs w:val="28"/>
          <w:lang w:val="en-US" w:eastAsia="zh-CN"/>
        </w:rPr>
        <w:t>大赛</w:t>
      </w:r>
      <w:r>
        <w:rPr>
          <w:rFonts w:hint="eastAsia" w:ascii="仿宋" w:hAnsi="仿宋" w:eastAsia="仿宋" w:cs="仿宋"/>
          <w:sz w:val="28"/>
          <w:szCs w:val="28"/>
        </w:rPr>
        <w:t>设备</w:t>
      </w:r>
      <w:r>
        <w:rPr>
          <w:rFonts w:hint="eastAsia" w:ascii="仿宋" w:hAnsi="仿宋" w:eastAsia="仿宋" w:cs="仿宋"/>
          <w:sz w:val="28"/>
          <w:szCs w:val="28"/>
        </w:rPr>
        <w:br w:type="textWrapping"/>
      </w:r>
      <w:r>
        <w:rPr>
          <w:rFonts w:hint="eastAsia" w:ascii="仿宋" w:hAnsi="仿宋" w:eastAsia="仿宋" w:cs="仿宋"/>
          <w:sz w:val="28"/>
          <w:szCs w:val="28"/>
        </w:rPr>
        <w:t>数控</w:t>
      </w:r>
      <w:r>
        <w:rPr>
          <w:rFonts w:hint="eastAsia" w:ascii="仿宋" w:hAnsi="仿宋" w:eastAsia="仿宋" w:cs="仿宋"/>
          <w:sz w:val="28"/>
          <w:szCs w:val="28"/>
          <w:lang w:val="en-US" w:eastAsia="zh-CN"/>
        </w:rPr>
        <w:t>铣</w:t>
      </w:r>
      <w:r>
        <w:rPr>
          <w:rFonts w:hint="eastAsia" w:ascii="仿宋" w:hAnsi="仿宋" w:eastAsia="仿宋" w:cs="仿宋"/>
          <w:sz w:val="28"/>
          <w:szCs w:val="28"/>
        </w:rPr>
        <w:t>床共4台</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系统华中818</w:t>
      </w:r>
      <w:r>
        <w:rPr>
          <w:rFonts w:hint="eastAsia" w:ascii="仿宋" w:hAnsi="仿宋" w:eastAsia="仿宋" w:cs="仿宋"/>
          <w:sz w:val="28"/>
          <w:szCs w:val="28"/>
        </w:rPr>
        <w:t>。</w:t>
      </w:r>
    </w:p>
    <w:p>
      <w:pPr>
        <w:snapToGrid w:val="0"/>
        <w:spacing w:line="56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lang w:val="en-US" w:eastAsia="zh-CN"/>
        </w:rPr>
        <w:t>六</w:t>
      </w:r>
      <w:r>
        <w:rPr>
          <w:rFonts w:hint="eastAsia" w:ascii="仿宋" w:hAnsi="仿宋" w:eastAsia="仿宋" w:cs="仿宋"/>
          <w:b/>
          <w:sz w:val="28"/>
          <w:szCs w:val="28"/>
        </w:rPr>
        <w:t>、技术规范</w:t>
      </w:r>
    </w:p>
    <w:p>
      <w:pPr>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（一）职业标准</w:t>
      </w:r>
    </w:p>
    <w:p>
      <w:pPr>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1.竞赛按照《铣床国家职业标准》中国家职业资格四级（中级工）的要求实施。</w:t>
      </w:r>
    </w:p>
    <w:p>
      <w:pPr>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2.竞赛按照机械制图国家标准、安全生产规范、测量技术规范、机械装配规范等国家或行业标准、规范的要求实施。</w:t>
      </w:r>
    </w:p>
    <w:p>
      <w:pPr>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3.竞赛联系生产实际，关注行业发展，结合技术技能人才培养要求和职业岗位需要，适当增加新知识、新技术、新技能等相关内容。</w:t>
      </w:r>
    </w:p>
    <w:p>
      <w:pPr>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（二）职业道德</w:t>
      </w:r>
    </w:p>
    <w:p>
      <w:pPr>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1.敬业爱岗，忠于职守，严于律已。</w:t>
      </w:r>
    </w:p>
    <w:p>
      <w:pPr>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2.刻苦学习，钻研业务，善于观察，勤于思考。</w:t>
      </w:r>
    </w:p>
    <w:p>
      <w:pPr>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3.认真负责，吃苦耐劳。</w:t>
      </w:r>
    </w:p>
    <w:p>
      <w:pPr>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4.遵守操作规程，安全、文明生产。</w:t>
      </w:r>
    </w:p>
    <w:p>
      <w:pPr>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5.着装规范整洁，爱护设备，保持工作环境清洁有序。</w:t>
      </w:r>
    </w:p>
    <w:p>
      <w:pPr>
        <w:snapToGrid w:val="0"/>
        <w:spacing w:line="560" w:lineRule="exact"/>
        <w:ind w:firstLine="562" w:firstLineChars="200"/>
        <w:rPr>
          <w:rFonts w:hint="eastAsia" w:ascii="仿宋" w:hAnsi="仿宋" w:eastAsia="仿宋" w:cs="仿宋"/>
          <w:sz w:val="28"/>
          <w:szCs w:val="28"/>
        </w:rPr>
      </w:pPr>
      <w:r>
        <w:rPr>
          <w:rFonts w:hint="eastAsia" w:ascii="仿宋" w:hAnsi="仿宋" w:eastAsia="仿宋" w:cs="仿宋"/>
          <w:b/>
          <w:sz w:val="28"/>
          <w:szCs w:val="28"/>
          <w:lang w:val="en-US" w:eastAsia="zh-CN"/>
        </w:rPr>
        <w:t>七</w:t>
      </w:r>
      <w:r>
        <w:rPr>
          <w:rFonts w:hint="eastAsia" w:ascii="仿宋" w:hAnsi="仿宋" w:eastAsia="仿宋" w:cs="仿宋"/>
          <w:b/>
          <w:sz w:val="28"/>
          <w:szCs w:val="28"/>
        </w:rPr>
        <w:t>、技术平台</w:t>
      </w:r>
    </w:p>
    <w:p>
      <w:pPr>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本赛项202</w:t>
      </w:r>
      <w:r>
        <w:rPr>
          <w:rFonts w:hint="eastAsia" w:ascii="仿宋" w:hAnsi="仿宋" w:eastAsia="仿宋" w:cs="仿宋"/>
          <w:sz w:val="28"/>
          <w:szCs w:val="28"/>
          <w:lang w:val="en-US" w:eastAsia="zh-CN"/>
        </w:rPr>
        <w:t>3</w:t>
      </w:r>
      <w:r>
        <w:rPr>
          <w:rFonts w:hint="eastAsia" w:ascii="仿宋" w:hAnsi="仿宋" w:eastAsia="仿宋" w:cs="仿宋"/>
          <w:sz w:val="28"/>
          <w:szCs w:val="28"/>
        </w:rPr>
        <w:t>年竞赛选用的技术平台。</w:t>
      </w:r>
    </w:p>
    <w:p>
      <w:pPr>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（一）硬件技术平台</w:t>
      </w:r>
    </w:p>
    <w:p>
      <w:pPr>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1.数控机床</w:t>
      </w:r>
    </w:p>
    <w:p>
      <w:pPr>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使用机床技术参数见下表。</w:t>
      </w:r>
    </w:p>
    <w:p>
      <w:pPr>
        <w:spacing w:line="560" w:lineRule="exact"/>
        <w:ind w:firstLine="560" w:firstLineChars="200"/>
        <w:jc w:val="center"/>
        <w:rPr>
          <w:rFonts w:hint="eastAsia" w:ascii="仿宋" w:hAnsi="仿宋" w:eastAsia="仿宋" w:cs="仿宋"/>
          <w:bCs/>
          <w:kern w:val="0"/>
          <w:sz w:val="28"/>
          <w:szCs w:val="28"/>
        </w:rPr>
      </w:pPr>
      <w:r>
        <w:rPr>
          <w:rFonts w:hint="eastAsia" w:ascii="仿宋" w:hAnsi="仿宋" w:eastAsia="仿宋" w:cs="仿宋"/>
          <w:bCs/>
          <w:kern w:val="0"/>
          <w:sz w:val="28"/>
          <w:szCs w:val="28"/>
        </w:rPr>
        <w:t xml:space="preserve"> 机床技术参数</w:t>
      </w:r>
    </w:p>
    <w:tbl>
      <w:tblPr>
        <w:tblStyle w:val="10"/>
        <w:tblW w:w="7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206"/>
        <w:gridCol w:w="2136"/>
        <w:gridCol w:w="2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21" w:type="dxa"/>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序号</w:t>
            </w:r>
          </w:p>
        </w:tc>
        <w:tc>
          <w:tcPr>
            <w:tcW w:w="2206" w:type="dxa"/>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技术参数</w:t>
            </w:r>
          </w:p>
        </w:tc>
        <w:tc>
          <w:tcPr>
            <w:tcW w:w="2136" w:type="dxa"/>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加工中心</w:t>
            </w:r>
          </w:p>
        </w:tc>
        <w:tc>
          <w:tcPr>
            <w:tcW w:w="2256" w:type="dxa"/>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数控铣床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21" w:type="dxa"/>
            <w:vAlign w:val="center"/>
          </w:tcPr>
          <w:p>
            <w:pPr>
              <w:jc w:val="center"/>
              <w:rPr>
                <w:rFonts w:hint="eastAsia" w:ascii="仿宋" w:hAnsi="仿宋" w:eastAsia="仿宋" w:cs="仿宋"/>
                <w:sz w:val="28"/>
                <w:szCs w:val="28"/>
              </w:rPr>
            </w:pPr>
            <w:r>
              <w:rPr>
                <w:rFonts w:hint="eastAsia" w:ascii="仿宋" w:hAnsi="仿宋" w:eastAsia="仿宋" w:cs="仿宋"/>
                <w:sz w:val="28"/>
                <w:szCs w:val="28"/>
              </w:rPr>
              <w:t>1</w:t>
            </w:r>
          </w:p>
        </w:tc>
        <w:tc>
          <w:tcPr>
            <w:tcW w:w="2206" w:type="dxa"/>
            <w:vAlign w:val="center"/>
          </w:tcPr>
          <w:p>
            <w:pPr>
              <w:jc w:val="left"/>
              <w:rPr>
                <w:rFonts w:hint="eastAsia" w:ascii="仿宋" w:hAnsi="仿宋" w:eastAsia="仿宋" w:cs="仿宋"/>
                <w:sz w:val="28"/>
                <w:szCs w:val="28"/>
              </w:rPr>
            </w:pPr>
            <w:r>
              <w:rPr>
                <w:rFonts w:hint="eastAsia" w:ascii="仿宋" w:hAnsi="仿宋" w:eastAsia="仿宋" w:cs="仿宋"/>
                <w:sz w:val="28"/>
                <w:szCs w:val="28"/>
              </w:rPr>
              <w:t>机床型号</w:t>
            </w:r>
          </w:p>
        </w:tc>
        <w:tc>
          <w:tcPr>
            <w:tcW w:w="2136" w:type="dxa"/>
            <w:vAlign w:val="center"/>
          </w:tcPr>
          <w:p>
            <w:pPr>
              <w:jc w:val="center"/>
              <w:rPr>
                <w:rFonts w:hint="eastAsia" w:ascii="仿宋" w:hAnsi="仿宋" w:eastAsia="仿宋" w:cs="仿宋"/>
                <w:sz w:val="28"/>
                <w:szCs w:val="28"/>
              </w:rPr>
            </w:pPr>
            <w:r>
              <w:rPr>
                <w:rFonts w:hint="eastAsia" w:ascii="仿宋" w:hAnsi="仿宋" w:eastAsia="仿宋" w:cs="仿宋"/>
                <w:sz w:val="28"/>
                <w:szCs w:val="28"/>
              </w:rPr>
              <w:t>VMC850</w:t>
            </w:r>
          </w:p>
        </w:tc>
        <w:tc>
          <w:tcPr>
            <w:tcW w:w="2256" w:type="dxa"/>
            <w:vAlign w:val="center"/>
          </w:tcPr>
          <w:p>
            <w:pPr>
              <w:jc w:val="center"/>
              <w:rPr>
                <w:rFonts w:hint="eastAsia" w:ascii="仿宋" w:hAnsi="仿宋" w:eastAsia="仿宋" w:cs="仿宋"/>
                <w:sz w:val="28"/>
                <w:szCs w:val="28"/>
              </w:rPr>
            </w:pPr>
            <w:r>
              <w:rPr>
                <w:rFonts w:hint="eastAsia" w:ascii="仿宋" w:hAnsi="仿宋" w:eastAsia="仿宋" w:cs="仿宋"/>
                <w:kern w:val="0"/>
                <w:sz w:val="28"/>
                <w:szCs w:val="28"/>
              </w:rPr>
              <w:t>XK713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21" w:type="dxa"/>
            <w:vAlign w:val="center"/>
          </w:tcPr>
          <w:p>
            <w:pPr>
              <w:jc w:val="center"/>
              <w:rPr>
                <w:rFonts w:hint="eastAsia" w:ascii="仿宋" w:hAnsi="仿宋" w:eastAsia="仿宋" w:cs="仿宋"/>
                <w:sz w:val="28"/>
                <w:szCs w:val="28"/>
              </w:rPr>
            </w:pPr>
            <w:r>
              <w:rPr>
                <w:rFonts w:hint="eastAsia" w:ascii="仿宋" w:hAnsi="仿宋" w:eastAsia="仿宋" w:cs="仿宋"/>
                <w:sz w:val="28"/>
                <w:szCs w:val="28"/>
              </w:rPr>
              <w:t>2</w:t>
            </w:r>
          </w:p>
        </w:tc>
        <w:tc>
          <w:tcPr>
            <w:tcW w:w="2206" w:type="dxa"/>
            <w:vAlign w:val="center"/>
          </w:tcPr>
          <w:p>
            <w:pPr>
              <w:spacing w:line="280" w:lineRule="exact"/>
              <w:jc w:val="left"/>
              <w:rPr>
                <w:rFonts w:hint="eastAsia" w:ascii="仿宋" w:hAnsi="仿宋" w:eastAsia="仿宋" w:cs="仿宋"/>
                <w:sz w:val="28"/>
                <w:szCs w:val="28"/>
              </w:rPr>
            </w:pPr>
            <w:r>
              <w:rPr>
                <w:rFonts w:hint="eastAsia" w:ascii="仿宋" w:hAnsi="仿宋" w:eastAsia="仿宋" w:cs="仿宋"/>
                <w:sz w:val="28"/>
                <w:szCs w:val="28"/>
              </w:rPr>
              <w:t>工作台规格</w:t>
            </w:r>
          </w:p>
          <w:p>
            <w:pPr>
              <w:spacing w:line="280" w:lineRule="exact"/>
              <w:jc w:val="left"/>
              <w:rPr>
                <w:rFonts w:hint="eastAsia" w:ascii="仿宋" w:hAnsi="仿宋" w:eastAsia="仿宋" w:cs="仿宋"/>
                <w:sz w:val="28"/>
                <w:szCs w:val="28"/>
              </w:rPr>
            </w:pPr>
            <w:r>
              <w:rPr>
                <w:rFonts w:hint="eastAsia" w:ascii="仿宋" w:hAnsi="仿宋" w:eastAsia="仿宋" w:cs="仿宋"/>
                <w:sz w:val="28"/>
                <w:szCs w:val="28"/>
              </w:rPr>
              <w:t>(长×宽)(mm)</w:t>
            </w:r>
          </w:p>
        </w:tc>
        <w:tc>
          <w:tcPr>
            <w:tcW w:w="2136" w:type="dxa"/>
            <w:vAlign w:val="center"/>
          </w:tcPr>
          <w:p>
            <w:pPr>
              <w:jc w:val="center"/>
              <w:rPr>
                <w:rFonts w:hint="eastAsia" w:ascii="仿宋" w:hAnsi="仿宋" w:eastAsia="仿宋" w:cs="仿宋"/>
                <w:sz w:val="28"/>
                <w:szCs w:val="28"/>
              </w:rPr>
            </w:pPr>
            <w:r>
              <w:rPr>
                <w:rFonts w:hint="eastAsia" w:ascii="仿宋" w:hAnsi="仿宋" w:eastAsia="仿宋" w:cs="仿宋"/>
                <w:sz w:val="28"/>
                <w:szCs w:val="28"/>
              </w:rPr>
              <w:t>800×500×550</w:t>
            </w:r>
          </w:p>
        </w:tc>
        <w:tc>
          <w:tcPr>
            <w:tcW w:w="2256" w:type="dxa"/>
            <w:vAlign w:val="center"/>
          </w:tcPr>
          <w:p>
            <w:pPr>
              <w:jc w:val="center"/>
              <w:rPr>
                <w:rFonts w:hint="eastAsia" w:ascii="仿宋" w:hAnsi="仿宋" w:eastAsia="仿宋" w:cs="仿宋"/>
                <w:sz w:val="28"/>
                <w:szCs w:val="28"/>
              </w:rPr>
            </w:pPr>
            <w:r>
              <w:rPr>
                <w:rFonts w:hint="eastAsia" w:ascii="仿宋" w:hAnsi="仿宋" w:eastAsia="仿宋" w:cs="仿宋"/>
                <w:sz w:val="28"/>
                <w:szCs w:val="28"/>
              </w:rPr>
              <w:t>700×300×400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21" w:type="dxa"/>
            <w:vAlign w:val="center"/>
          </w:tcPr>
          <w:p>
            <w:pPr>
              <w:jc w:val="center"/>
              <w:rPr>
                <w:rFonts w:hint="eastAsia" w:ascii="仿宋" w:hAnsi="仿宋" w:eastAsia="仿宋" w:cs="仿宋"/>
                <w:sz w:val="28"/>
                <w:szCs w:val="28"/>
              </w:rPr>
            </w:pPr>
            <w:r>
              <w:rPr>
                <w:rFonts w:hint="eastAsia" w:ascii="仿宋" w:hAnsi="仿宋" w:eastAsia="仿宋" w:cs="仿宋"/>
                <w:sz w:val="28"/>
                <w:szCs w:val="28"/>
              </w:rPr>
              <w:t>3</w:t>
            </w:r>
          </w:p>
        </w:tc>
        <w:tc>
          <w:tcPr>
            <w:tcW w:w="2206" w:type="dxa"/>
            <w:vAlign w:val="center"/>
          </w:tcPr>
          <w:p>
            <w:pPr>
              <w:spacing w:line="280" w:lineRule="exact"/>
              <w:jc w:val="left"/>
              <w:rPr>
                <w:rFonts w:hint="eastAsia" w:ascii="仿宋" w:hAnsi="仿宋" w:eastAsia="仿宋" w:cs="仿宋"/>
                <w:sz w:val="28"/>
                <w:szCs w:val="28"/>
              </w:rPr>
            </w:pPr>
            <w:r>
              <w:rPr>
                <w:rFonts w:hint="eastAsia" w:ascii="仿宋" w:hAnsi="仿宋" w:eastAsia="仿宋" w:cs="仿宋"/>
                <w:sz w:val="28"/>
                <w:szCs w:val="28"/>
              </w:rPr>
              <w:t>工作台最大</w:t>
            </w:r>
          </w:p>
          <w:p>
            <w:pPr>
              <w:spacing w:line="280" w:lineRule="exact"/>
              <w:jc w:val="left"/>
              <w:rPr>
                <w:rFonts w:hint="eastAsia" w:ascii="仿宋" w:hAnsi="仿宋" w:eastAsia="仿宋" w:cs="仿宋"/>
                <w:sz w:val="28"/>
                <w:szCs w:val="28"/>
              </w:rPr>
            </w:pPr>
            <w:r>
              <w:rPr>
                <w:rFonts w:hint="eastAsia" w:ascii="仿宋" w:hAnsi="仿宋" w:eastAsia="仿宋" w:cs="仿宋"/>
                <w:sz w:val="28"/>
                <w:szCs w:val="28"/>
              </w:rPr>
              <w:t>载重(kg)</w:t>
            </w:r>
          </w:p>
        </w:tc>
        <w:tc>
          <w:tcPr>
            <w:tcW w:w="2136" w:type="dxa"/>
            <w:vAlign w:val="center"/>
          </w:tcPr>
          <w:p>
            <w:pPr>
              <w:jc w:val="center"/>
              <w:rPr>
                <w:rFonts w:hint="eastAsia" w:ascii="仿宋" w:hAnsi="仿宋" w:eastAsia="仿宋" w:cs="仿宋"/>
                <w:sz w:val="28"/>
                <w:szCs w:val="28"/>
              </w:rPr>
            </w:pPr>
            <w:r>
              <w:rPr>
                <w:rFonts w:hint="eastAsia" w:ascii="仿宋" w:hAnsi="仿宋" w:eastAsia="仿宋" w:cs="仿宋"/>
                <w:sz w:val="28"/>
                <w:szCs w:val="28"/>
              </w:rPr>
              <w:t>600</w:t>
            </w:r>
          </w:p>
        </w:tc>
        <w:tc>
          <w:tcPr>
            <w:tcW w:w="2256" w:type="dxa"/>
            <w:vAlign w:val="center"/>
          </w:tcPr>
          <w:p>
            <w:pPr>
              <w:jc w:val="center"/>
              <w:rPr>
                <w:rFonts w:hint="eastAsia" w:ascii="仿宋" w:hAnsi="仿宋" w:eastAsia="仿宋" w:cs="仿宋"/>
                <w:sz w:val="28"/>
                <w:szCs w:val="28"/>
              </w:rPr>
            </w:pPr>
            <w:r>
              <w:rPr>
                <w:rFonts w:hint="eastAsia" w:ascii="仿宋" w:hAnsi="仿宋" w:eastAsia="仿宋" w:cs="仿宋"/>
                <w:sz w:val="28"/>
                <w:szCs w:val="2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21" w:type="dxa"/>
            <w:vAlign w:val="center"/>
          </w:tcPr>
          <w:p>
            <w:pPr>
              <w:jc w:val="center"/>
              <w:rPr>
                <w:rFonts w:hint="eastAsia" w:ascii="仿宋" w:hAnsi="仿宋" w:eastAsia="仿宋" w:cs="仿宋"/>
                <w:sz w:val="28"/>
                <w:szCs w:val="28"/>
              </w:rPr>
            </w:pPr>
            <w:r>
              <w:rPr>
                <w:rFonts w:hint="eastAsia" w:ascii="仿宋" w:hAnsi="仿宋" w:eastAsia="仿宋" w:cs="仿宋"/>
                <w:sz w:val="28"/>
                <w:szCs w:val="28"/>
              </w:rPr>
              <w:t>4</w:t>
            </w:r>
          </w:p>
        </w:tc>
        <w:tc>
          <w:tcPr>
            <w:tcW w:w="2206" w:type="dxa"/>
            <w:vAlign w:val="center"/>
          </w:tcPr>
          <w:p>
            <w:pPr>
              <w:spacing w:line="280" w:lineRule="exact"/>
              <w:jc w:val="left"/>
              <w:rPr>
                <w:rFonts w:hint="eastAsia" w:ascii="仿宋" w:hAnsi="仿宋" w:eastAsia="仿宋" w:cs="仿宋"/>
                <w:sz w:val="28"/>
                <w:szCs w:val="28"/>
              </w:rPr>
            </w:pPr>
            <w:r>
              <w:rPr>
                <w:rFonts w:hint="eastAsia" w:ascii="仿宋" w:hAnsi="仿宋" w:eastAsia="仿宋" w:cs="仿宋"/>
                <w:sz w:val="28"/>
                <w:szCs w:val="28"/>
              </w:rPr>
              <w:t>主轴转速范围</w:t>
            </w:r>
          </w:p>
          <w:p>
            <w:pPr>
              <w:spacing w:line="280" w:lineRule="exact"/>
              <w:jc w:val="left"/>
              <w:rPr>
                <w:rFonts w:hint="eastAsia" w:ascii="仿宋" w:hAnsi="仿宋" w:eastAsia="仿宋" w:cs="仿宋"/>
                <w:sz w:val="28"/>
                <w:szCs w:val="28"/>
              </w:rPr>
            </w:pPr>
            <w:r>
              <w:rPr>
                <w:rFonts w:hint="eastAsia" w:ascii="仿宋" w:hAnsi="仿宋" w:eastAsia="仿宋" w:cs="仿宋"/>
                <w:sz w:val="28"/>
                <w:szCs w:val="28"/>
              </w:rPr>
              <w:t>(r/min)</w:t>
            </w:r>
          </w:p>
        </w:tc>
        <w:tc>
          <w:tcPr>
            <w:tcW w:w="2136" w:type="dxa"/>
            <w:vAlign w:val="center"/>
          </w:tcPr>
          <w:p>
            <w:pPr>
              <w:jc w:val="center"/>
              <w:rPr>
                <w:rFonts w:hint="eastAsia" w:ascii="仿宋" w:hAnsi="仿宋" w:eastAsia="仿宋" w:cs="仿宋"/>
                <w:sz w:val="28"/>
                <w:szCs w:val="28"/>
              </w:rPr>
            </w:pPr>
            <w:r>
              <w:rPr>
                <w:rFonts w:hint="eastAsia" w:ascii="仿宋" w:hAnsi="仿宋" w:eastAsia="仿宋" w:cs="仿宋"/>
                <w:sz w:val="28"/>
                <w:szCs w:val="28"/>
              </w:rPr>
              <w:t>60～6000</w:t>
            </w:r>
          </w:p>
        </w:tc>
        <w:tc>
          <w:tcPr>
            <w:tcW w:w="2256" w:type="dxa"/>
            <w:vAlign w:val="center"/>
          </w:tcPr>
          <w:p>
            <w:pPr>
              <w:jc w:val="center"/>
              <w:rPr>
                <w:rFonts w:hint="eastAsia" w:ascii="仿宋" w:hAnsi="仿宋" w:eastAsia="仿宋" w:cs="仿宋"/>
                <w:sz w:val="28"/>
                <w:szCs w:val="28"/>
              </w:rPr>
            </w:pPr>
            <w:r>
              <w:rPr>
                <w:rFonts w:hint="eastAsia" w:ascii="仿宋" w:hAnsi="仿宋" w:eastAsia="仿宋" w:cs="仿宋"/>
                <w:sz w:val="28"/>
                <w:szCs w:val="28"/>
              </w:rPr>
              <w:t>60～6000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21" w:type="dxa"/>
            <w:vAlign w:val="center"/>
          </w:tcPr>
          <w:p>
            <w:pPr>
              <w:jc w:val="center"/>
              <w:rPr>
                <w:rFonts w:hint="eastAsia" w:ascii="仿宋" w:hAnsi="仿宋" w:eastAsia="仿宋" w:cs="仿宋"/>
                <w:sz w:val="28"/>
                <w:szCs w:val="28"/>
              </w:rPr>
            </w:pPr>
            <w:r>
              <w:rPr>
                <w:rFonts w:hint="eastAsia" w:ascii="仿宋" w:hAnsi="仿宋" w:eastAsia="仿宋" w:cs="仿宋"/>
                <w:sz w:val="28"/>
                <w:szCs w:val="28"/>
              </w:rPr>
              <w:t>5</w:t>
            </w:r>
          </w:p>
        </w:tc>
        <w:tc>
          <w:tcPr>
            <w:tcW w:w="2206" w:type="dxa"/>
            <w:vAlign w:val="center"/>
          </w:tcPr>
          <w:p>
            <w:pPr>
              <w:jc w:val="left"/>
              <w:rPr>
                <w:rFonts w:hint="eastAsia" w:ascii="仿宋" w:hAnsi="仿宋" w:eastAsia="仿宋" w:cs="仿宋"/>
                <w:sz w:val="28"/>
                <w:szCs w:val="28"/>
              </w:rPr>
            </w:pPr>
            <w:r>
              <w:rPr>
                <w:rFonts w:hint="eastAsia" w:ascii="仿宋" w:hAnsi="仿宋" w:eastAsia="仿宋" w:cs="仿宋"/>
                <w:sz w:val="28"/>
                <w:szCs w:val="28"/>
              </w:rPr>
              <w:t>刀柄</w:t>
            </w:r>
          </w:p>
        </w:tc>
        <w:tc>
          <w:tcPr>
            <w:tcW w:w="2136" w:type="dxa"/>
            <w:vAlign w:val="center"/>
          </w:tcPr>
          <w:p>
            <w:pPr>
              <w:jc w:val="center"/>
              <w:rPr>
                <w:rFonts w:hint="eastAsia" w:ascii="仿宋" w:hAnsi="仿宋" w:eastAsia="仿宋" w:cs="仿宋"/>
                <w:sz w:val="28"/>
                <w:szCs w:val="28"/>
              </w:rPr>
            </w:pPr>
            <w:r>
              <w:rPr>
                <w:rFonts w:hint="eastAsia" w:ascii="仿宋" w:hAnsi="仿宋" w:eastAsia="仿宋" w:cs="仿宋"/>
                <w:sz w:val="28"/>
                <w:szCs w:val="28"/>
              </w:rPr>
              <w:t>BT40</w:t>
            </w:r>
          </w:p>
        </w:tc>
        <w:tc>
          <w:tcPr>
            <w:tcW w:w="2256" w:type="dxa"/>
            <w:vAlign w:val="center"/>
          </w:tcPr>
          <w:p>
            <w:pPr>
              <w:jc w:val="center"/>
              <w:rPr>
                <w:rFonts w:hint="eastAsia" w:ascii="仿宋" w:hAnsi="仿宋" w:eastAsia="仿宋" w:cs="仿宋"/>
                <w:sz w:val="28"/>
                <w:szCs w:val="28"/>
              </w:rPr>
            </w:pPr>
            <w:r>
              <w:rPr>
                <w:rFonts w:hint="eastAsia" w:ascii="仿宋" w:hAnsi="仿宋" w:eastAsia="仿宋" w:cs="仿宋"/>
                <w:sz w:val="28"/>
                <w:szCs w:val="28"/>
              </w:rPr>
              <w:t>BT40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21" w:type="dxa"/>
            <w:vAlign w:val="center"/>
          </w:tcPr>
          <w:p>
            <w:pPr>
              <w:jc w:val="center"/>
              <w:rPr>
                <w:rFonts w:hint="eastAsia" w:ascii="仿宋" w:hAnsi="仿宋" w:eastAsia="仿宋" w:cs="仿宋"/>
                <w:sz w:val="28"/>
                <w:szCs w:val="28"/>
              </w:rPr>
            </w:pPr>
            <w:r>
              <w:rPr>
                <w:rFonts w:hint="eastAsia" w:ascii="仿宋" w:hAnsi="仿宋" w:eastAsia="仿宋" w:cs="仿宋"/>
                <w:sz w:val="28"/>
                <w:szCs w:val="28"/>
              </w:rPr>
              <w:t>6</w:t>
            </w:r>
          </w:p>
        </w:tc>
        <w:tc>
          <w:tcPr>
            <w:tcW w:w="2206" w:type="dxa"/>
            <w:vAlign w:val="center"/>
          </w:tcPr>
          <w:p>
            <w:pPr>
              <w:jc w:val="left"/>
              <w:rPr>
                <w:rFonts w:hint="eastAsia" w:ascii="仿宋" w:hAnsi="仿宋" w:eastAsia="仿宋" w:cs="仿宋"/>
                <w:sz w:val="28"/>
                <w:szCs w:val="28"/>
              </w:rPr>
            </w:pPr>
          </w:p>
        </w:tc>
        <w:tc>
          <w:tcPr>
            <w:tcW w:w="2136" w:type="dxa"/>
            <w:vAlign w:val="center"/>
          </w:tcPr>
          <w:p>
            <w:pPr>
              <w:jc w:val="center"/>
              <w:rPr>
                <w:rFonts w:hint="eastAsia" w:ascii="仿宋" w:hAnsi="仿宋" w:eastAsia="仿宋" w:cs="仿宋"/>
                <w:sz w:val="28"/>
                <w:szCs w:val="28"/>
              </w:rPr>
            </w:pPr>
            <w:r>
              <w:rPr>
                <w:rFonts w:hint="eastAsia" w:ascii="仿宋" w:hAnsi="仿宋" w:eastAsia="仿宋" w:cs="仿宋"/>
                <w:sz w:val="28"/>
                <w:szCs w:val="28"/>
              </w:rPr>
              <w:t>4台</w:t>
            </w:r>
          </w:p>
        </w:tc>
        <w:tc>
          <w:tcPr>
            <w:tcW w:w="2256" w:type="dxa"/>
            <w:vAlign w:val="center"/>
          </w:tcPr>
          <w:p>
            <w:pPr>
              <w:jc w:val="center"/>
              <w:rPr>
                <w:rFonts w:hint="eastAsia" w:ascii="仿宋" w:hAnsi="仿宋" w:eastAsia="仿宋" w:cs="仿宋"/>
                <w:sz w:val="28"/>
                <w:szCs w:val="28"/>
              </w:rPr>
            </w:pPr>
            <w:r>
              <w:rPr>
                <w:rFonts w:hint="eastAsia" w:ascii="仿宋" w:hAnsi="仿宋" w:eastAsia="仿宋" w:cs="仿宋"/>
                <w:sz w:val="28"/>
                <w:szCs w:val="28"/>
              </w:rPr>
              <w:t>7台</w:t>
            </w:r>
          </w:p>
        </w:tc>
      </w:tr>
    </w:tbl>
    <w:p>
      <w:pPr>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2.数控系统</w:t>
      </w:r>
    </w:p>
    <w:p>
      <w:pPr>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华中数控HNC818B 、818Di</w:t>
      </w:r>
    </w:p>
    <w:p>
      <w:pPr>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3.竞赛提供工具（赛场准备）</w:t>
      </w:r>
    </w:p>
    <w:tbl>
      <w:tblPr>
        <w:tblStyle w:val="10"/>
        <w:tblW w:w="8517" w:type="dxa"/>
        <w:tblInd w:w="4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85"/>
        <w:gridCol w:w="1671"/>
        <w:gridCol w:w="2268"/>
        <w:gridCol w:w="1417"/>
        <w:gridCol w:w="18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85" w:type="dxa"/>
            <w:vAlign w:val="center"/>
          </w:tcPr>
          <w:p>
            <w:pPr>
              <w:snapToGrid w:val="0"/>
              <w:spacing w:line="540" w:lineRule="exact"/>
              <w:rPr>
                <w:rFonts w:hint="eastAsia" w:ascii="仿宋" w:hAnsi="仿宋" w:eastAsia="仿宋" w:cs="仿宋"/>
                <w:sz w:val="28"/>
                <w:szCs w:val="28"/>
              </w:rPr>
            </w:pPr>
            <w:r>
              <w:rPr>
                <w:rFonts w:hint="eastAsia" w:ascii="仿宋" w:hAnsi="仿宋" w:eastAsia="仿宋" w:cs="仿宋"/>
                <w:sz w:val="28"/>
                <w:szCs w:val="28"/>
              </w:rPr>
              <w:t>序号</w:t>
            </w:r>
          </w:p>
        </w:tc>
        <w:tc>
          <w:tcPr>
            <w:tcW w:w="1671" w:type="dxa"/>
            <w:vAlign w:val="center"/>
          </w:tcPr>
          <w:p>
            <w:pPr>
              <w:snapToGrid w:val="0"/>
              <w:spacing w:line="5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名称</w:t>
            </w:r>
          </w:p>
        </w:tc>
        <w:tc>
          <w:tcPr>
            <w:tcW w:w="2268" w:type="dxa"/>
            <w:vAlign w:val="center"/>
          </w:tcPr>
          <w:p>
            <w:pPr>
              <w:snapToGrid w:val="0"/>
              <w:spacing w:line="5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型号</w:t>
            </w:r>
          </w:p>
        </w:tc>
        <w:tc>
          <w:tcPr>
            <w:tcW w:w="1417" w:type="dxa"/>
            <w:vAlign w:val="center"/>
          </w:tcPr>
          <w:p>
            <w:pPr>
              <w:snapToGrid w:val="0"/>
              <w:spacing w:line="540" w:lineRule="exact"/>
              <w:rPr>
                <w:rFonts w:hint="eastAsia" w:ascii="仿宋" w:hAnsi="仿宋" w:eastAsia="仿宋" w:cs="仿宋"/>
                <w:sz w:val="28"/>
                <w:szCs w:val="28"/>
              </w:rPr>
            </w:pPr>
            <w:r>
              <w:rPr>
                <w:rFonts w:hint="eastAsia" w:ascii="仿宋" w:hAnsi="仿宋" w:eastAsia="仿宋" w:cs="仿宋"/>
                <w:sz w:val="28"/>
                <w:szCs w:val="28"/>
              </w:rPr>
              <w:t xml:space="preserve">  数量</w:t>
            </w:r>
          </w:p>
        </w:tc>
        <w:tc>
          <w:tcPr>
            <w:tcW w:w="1876" w:type="dxa"/>
            <w:vAlign w:val="center"/>
          </w:tcPr>
          <w:p>
            <w:pPr>
              <w:snapToGrid w:val="0"/>
              <w:spacing w:line="5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85" w:type="dxa"/>
            <w:vAlign w:val="center"/>
          </w:tcPr>
          <w:p>
            <w:pPr>
              <w:snapToGrid w:val="0"/>
              <w:spacing w:line="5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p>
        </w:tc>
        <w:tc>
          <w:tcPr>
            <w:tcW w:w="1671" w:type="dxa"/>
            <w:vAlign w:val="center"/>
          </w:tcPr>
          <w:p>
            <w:pPr>
              <w:snapToGrid w:val="0"/>
              <w:spacing w:line="540" w:lineRule="exact"/>
              <w:rPr>
                <w:rFonts w:hint="eastAsia" w:ascii="仿宋" w:hAnsi="仿宋" w:eastAsia="仿宋" w:cs="仿宋"/>
                <w:sz w:val="28"/>
                <w:szCs w:val="28"/>
              </w:rPr>
            </w:pPr>
            <w:r>
              <w:rPr>
                <w:rFonts w:hint="eastAsia" w:ascii="仿宋" w:hAnsi="仿宋" w:eastAsia="仿宋" w:cs="仿宋"/>
                <w:sz w:val="28"/>
                <w:szCs w:val="28"/>
              </w:rPr>
              <w:t>平口钳</w:t>
            </w:r>
          </w:p>
        </w:tc>
        <w:tc>
          <w:tcPr>
            <w:tcW w:w="2268" w:type="dxa"/>
            <w:vAlign w:val="center"/>
          </w:tcPr>
          <w:p>
            <w:pPr>
              <w:snapToGrid w:val="0"/>
              <w:spacing w:line="540" w:lineRule="exact"/>
              <w:rPr>
                <w:rFonts w:hint="eastAsia" w:ascii="仿宋" w:hAnsi="仿宋" w:eastAsia="仿宋" w:cs="仿宋"/>
                <w:sz w:val="28"/>
                <w:szCs w:val="28"/>
              </w:rPr>
            </w:pPr>
            <w:r>
              <w:rPr>
                <w:rFonts w:hint="eastAsia" w:ascii="仿宋" w:hAnsi="仿宋" w:eastAsia="仿宋" w:cs="仿宋"/>
                <w:sz w:val="28"/>
                <w:szCs w:val="28"/>
              </w:rPr>
              <w:t>（200*160*45）</w:t>
            </w:r>
          </w:p>
        </w:tc>
        <w:tc>
          <w:tcPr>
            <w:tcW w:w="1417" w:type="dxa"/>
            <w:vAlign w:val="center"/>
          </w:tcPr>
          <w:p>
            <w:pPr>
              <w:snapToGrid w:val="0"/>
              <w:spacing w:line="540" w:lineRule="exact"/>
              <w:rPr>
                <w:rFonts w:hint="eastAsia" w:ascii="仿宋" w:hAnsi="仿宋" w:eastAsia="仿宋" w:cs="仿宋"/>
                <w:sz w:val="28"/>
                <w:szCs w:val="28"/>
              </w:rPr>
            </w:pPr>
            <w:r>
              <w:rPr>
                <w:rFonts w:hint="eastAsia" w:ascii="仿宋" w:hAnsi="仿宋" w:eastAsia="仿宋" w:cs="仿宋"/>
                <w:sz w:val="28"/>
                <w:szCs w:val="28"/>
              </w:rPr>
              <w:t>副/工位</w:t>
            </w:r>
          </w:p>
        </w:tc>
        <w:tc>
          <w:tcPr>
            <w:tcW w:w="1876" w:type="dxa"/>
            <w:vAlign w:val="center"/>
          </w:tcPr>
          <w:p>
            <w:pPr>
              <w:snapToGrid w:val="0"/>
              <w:spacing w:line="540" w:lineRule="exact"/>
              <w:ind w:firstLine="560" w:firstLineChars="200"/>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85" w:type="dxa"/>
            <w:vAlign w:val="center"/>
          </w:tcPr>
          <w:p>
            <w:pPr>
              <w:snapToGrid w:val="0"/>
              <w:spacing w:line="5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w:t>
            </w:r>
          </w:p>
        </w:tc>
        <w:tc>
          <w:tcPr>
            <w:tcW w:w="1671" w:type="dxa"/>
            <w:vAlign w:val="center"/>
          </w:tcPr>
          <w:p>
            <w:pPr>
              <w:snapToGrid w:val="0"/>
              <w:spacing w:line="540" w:lineRule="exact"/>
              <w:rPr>
                <w:rFonts w:hint="eastAsia" w:ascii="仿宋" w:hAnsi="仿宋" w:eastAsia="仿宋" w:cs="仿宋"/>
                <w:sz w:val="28"/>
                <w:szCs w:val="28"/>
              </w:rPr>
            </w:pPr>
            <w:r>
              <w:rPr>
                <w:rFonts w:hint="eastAsia" w:ascii="仿宋" w:hAnsi="仿宋" w:eastAsia="仿宋" w:cs="仿宋"/>
                <w:sz w:val="28"/>
                <w:szCs w:val="28"/>
              </w:rPr>
              <w:t>卸刀器</w:t>
            </w:r>
          </w:p>
        </w:tc>
        <w:tc>
          <w:tcPr>
            <w:tcW w:w="2268" w:type="dxa"/>
            <w:vAlign w:val="center"/>
          </w:tcPr>
          <w:p>
            <w:pPr>
              <w:snapToGrid w:val="0"/>
              <w:spacing w:line="540" w:lineRule="exact"/>
              <w:rPr>
                <w:rFonts w:hint="eastAsia" w:ascii="仿宋" w:hAnsi="仿宋" w:eastAsia="仿宋" w:cs="仿宋"/>
                <w:sz w:val="28"/>
                <w:szCs w:val="28"/>
              </w:rPr>
            </w:pPr>
          </w:p>
        </w:tc>
        <w:tc>
          <w:tcPr>
            <w:tcW w:w="1417" w:type="dxa"/>
            <w:vAlign w:val="center"/>
          </w:tcPr>
          <w:p>
            <w:pPr>
              <w:snapToGrid w:val="0"/>
              <w:spacing w:line="540" w:lineRule="exact"/>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2</w:t>
            </w:r>
            <w:r>
              <w:rPr>
                <w:rFonts w:hint="eastAsia" w:ascii="仿宋" w:hAnsi="仿宋" w:eastAsia="仿宋" w:cs="仿宋"/>
                <w:sz w:val="28"/>
                <w:szCs w:val="28"/>
              </w:rPr>
              <w:t>套</w:t>
            </w:r>
          </w:p>
        </w:tc>
        <w:tc>
          <w:tcPr>
            <w:tcW w:w="1876" w:type="dxa"/>
            <w:vAlign w:val="center"/>
          </w:tcPr>
          <w:p>
            <w:pPr>
              <w:snapToGrid w:val="0"/>
              <w:spacing w:line="540" w:lineRule="exact"/>
              <w:ind w:firstLine="560" w:firstLineChars="200"/>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85" w:type="dxa"/>
            <w:vAlign w:val="center"/>
          </w:tcPr>
          <w:p>
            <w:pPr>
              <w:snapToGrid w:val="0"/>
              <w:spacing w:line="5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w:t>
            </w:r>
          </w:p>
        </w:tc>
        <w:tc>
          <w:tcPr>
            <w:tcW w:w="1671" w:type="dxa"/>
            <w:vAlign w:val="center"/>
          </w:tcPr>
          <w:p>
            <w:pPr>
              <w:snapToGrid w:val="0"/>
              <w:spacing w:line="540" w:lineRule="exact"/>
              <w:rPr>
                <w:rFonts w:hint="eastAsia" w:ascii="仿宋" w:hAnsi="仿宋" w:eastAsia="仿宋" w:cs="仿宋"/>
                <w:sz w:val="28"/>
                <w:szCs w:val="28"/>
              </w:rPr>
            </w:pPr>
            <w:r>
              <w:rPr>
                <w:rFonts w:hint="eastAsia" w:ascii="仿宋" w:hAnsi="仿宋" w:eastAsia="仿宋" w:cs="仿宋"/>
                <w:sz w:val="28"/>
                <w:szCs w:val="28"/>
              </w:rPr>
              <w:t>卡簧</w:t>
            </w:r>
          </w:p>
        </w:tc>
        <w:tc>
          <w:tcPr>
            <w:tcW w:w="2268" w:type="dxa"/>
            <w:vAlign w:val="center"/>
          </w:tcPr>
          <w:p>
            <w:pPr>
              <w:snapToGrid w:val="0"/>
              <w:spacing w:line="540" w:lineRule="exact"/>
              <w:rPr>
                <w:rFonts w:hint="eastAsia" w:ascii="仿宋" w:hAnsi="仿宋" w:eastAsia="仿宋" w:cs="仿宋"/>
                <w:sz w:val="28"/>
                <w:szCs w:val="28"/>
                <w:lang w:val="en-US" w:eastAsia="zh-CN"/>
              </w:rPr>
            </w:pPr>
            <w:r>
              <w:rPr>
                <w:rFonts w:hint="eastAsia" w:ascii="仿宋" w:hAnsi="仿宋" w:eastAsia="仿宋" w:cs="仿宋"/>
                <w:sz w:val="28"/>
                <w:szCs w:val="28"/>
              </w:rPr>
              <w:t>4-16mm</w:t>
            </w:r>
            <w:r>
              <w:rPr>
                <w:rFonts w:hint="eastAsia" w:ascii="仿宋" w:hAnsi="仿宋" w:eastAsia="仿宋" w:cs="仿宋"/>
                <w:sz w:val="28"/>
                <w:szCs w:val="28"/>
                <w:lang w:val="en-US" w:eastAsia="zh-CN"/>
              </w:rPr>
              <w:t>ER卡簧</w:t>
            </w:r>
          </w:p>
        </w:tc>
        <w:tc>
          <w:tcPr>
            <w:tcW w:w="1417" w:type="dxa"/>
            <w:vAlign w:val="center"/>
          </w:tcPr>
          <w:p>
            <w:pPr>
              <w:snapToGrid w:val="0"/>
              <w:spacing w:line="540" w:lineRule="exact"/>
              <w:rPr>
                <w:rFonts w:hint="eastAsia" w:ascii="仿宋" w:hAnsi="仿宋" w:eastAsia="仿宋" w:cs="仿宋"/>
                <w:sz w:val="28"/>
                <w:szCs w:val="28"/>
              </w:rPr>
            </w:pPr>
            <w:r>
              <w:rPr>
                <w:rFonts w:hint="eastAsia" w:ascii="仿宋" w:hAnsi="仿宋" w:eastAsia="仿宋" w:cs="仿宋"/>
                <w:sz w:val="28"/>
                <w:szCs w:val="28"/>
              </w:rPr>
              <w:t xml:space="preserve"> 1套</w:t>
            </w:r>
          </w:p>
        </w:tc>
        <w:tc>
          <w:tcPr>
            <w:tcW w:w="1876" w:type="dxa"/>
            <w:vAlign w:val="center"/>
          </w:tcPr>
          <w:p>
            <w:pPr>
              <w:snapToGrid w:val="0"/>
              <w:spacing w:line="540" w:lineRule="exact"/>
              <w:ind w:firstLine="560" w:firstLineChars="200"/>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85" w:type="dxa"/>
            <w:vAlign w:val="center"/>
          </w:tcPr>
          <w:p>
            <w:pPr>
              <w:snapToGrid w:val="0"/>
              <w:spacing w:line="5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w:t>
            </w:r>
          </w:p>
        </w:tc>
        <w:tc>
          <w:tcPr>
            <w:tcW w:w="1671" w:type="dxa"/>
            <w:vAlign w:val="center"/>
          </w:tcPr>
          <w:p>
            <w:pPr>
              <w:snapToGrid w:val="0"/>
              <w:spacing w:line="540" w:lineRule="exact"/>
              <w:rPr>
                <w:rFonts w:hint="eastAsia" w:ascii="仿宋" w:hAnsi="仿宋" w:eastAsia="仿宋" w:cs="仿宋"/>
                <w:sz w:val="28"/>
                <w:szCs w:val="28"/>
              </w:rPr>
            </w:pPr>
            <w:r>
              <w:rPr>
                <w:rFonts w:hint="eastAsia" w:ascii="仿宋" w:hAnsi="仿宋" w:eastAsia="仿宋" w:cs="仿宋"/>
                <w:sz w:val="28"/>
                <w:szCs w:val="28"/>
              </w:rPr>
              <w:t>铣刀刀柄</w:t>
            </w:r>
          </w:p>
        </w:tc>
        <w:tc>
          <w:tcPr>
            <w:tcW w:w="2268" w:type="dxa"/>
            <w:vAlign w:val="center"/>
          </w:tcPr>
          <w:p>
            <w:pPr>
              <w:snapToGrid w:val="0"/>
              <w:spacing w:line="5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BT40</w:t>
            </w:r>
          </w:p>
        </w:tc>
        <w:tc>
          <w:tcPr>
            <w:tcW w:w="1417" w:type="dxa"/>
            <w:vAlign w:val="center"/>
          </w:tcPr>
          <w:p>
            <w:pPr>
              <w:snapToGrid w:val="0"/>
              <w:spacing w:line="540" w:lineRule="exact"/>
              <w:rPr>
                <w:rFonts w:hint="eastAsia" w:ascii="仿宋" w:hAnsi="仿宋" w:eastAsia="仿宋" w:cs="仿宋"/>
                <w:sz w:val="28"/>
                <w:szCs w:val="28"/>
              </w:rPr>
            </w:pPr>
            <w:r>
              <w:rPr>
                <w:rFonts w:hint="eastAsia" w:ascii="仿宋" w:hAnsi="仿宋" w:eastAsia="仿宋" w:cs="仿宋"/>
                <w:sz w:val="28"/>
                <w:szCs w:val="28"/>
              </w:rPr>
              <w:t xml:space="preserve">  2把</w:t>
            </w:r>
          </w:p>
        </w:tc>
        <w:tc>
          <w:tcPr>
            <w:tcW w:w="1876" w:type="dxa"/>
            <w:vAlign w:val="center"/>
          </w:tcPr>
          <w:p>
            <w:pPr>
              <w:snapToGrid w:val="0"/>
              <w:spacing w:line="540" w:lineRule="exact"/>
              <w:ind w:firstLine="560" w:firstLineChars="200"/>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85" w:type="dxa"/>
            <w:vAlign w:val="center"/>
          </w:tcPr>
          <w:p>
            <w:pPr>
              <w:snapToGrid w:val="0"/>
              <w:spacing w:line="5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w:t>
            </w:r>
          </w:p>
        </w:tc>
        <w:tc>
          <w:tcPr>
            <w:tcW w:w="1671" w:type="dxa"/>
            <w:vAlign w:val="center"/>
          </w:tcPr>
          <w:p>
            <w:pPr>
              <w:snapToGrid w:val="0"/>
              <w:spacing w:line="540" w:lineRule="exact"/>
              <w:rPr>
                <w:rFonts w:hint="eastAsia" w:ascii="仿宋" w:hAnsi="仿宋" w:eastAsia="仿宋" w:cs="仿宋"/>
                <w:sz w:val="28"/>
                <w:szCs w:val="28"/>
              </w:rPr>
            </w:pPr>
            <w:r>
              <w:rPr>
                <w:rFonts w:hint="eastAsia" w:ascii="仿宋" w:hAnsi="仿宋" w:eastAsia="仿宋" w:cs="仿宋"/>
                <w:sz w:val="28"/>
                <w:szCs w:val="28"/>
              </w:rPr>
              <w:t>砂轮机</w:t>
            </w:r>
          </w:p>
        </w:tc>
        <w:tc>
          <w:tcPr>
            <w:tcW w:w="2268" w:type="dxa"/>
            <w:vAlign w:val="center"/>
          </w:tcPr>
          <w:p>
            <w:pPr>
              <w:snapToGrid w:val="0"/>
              <w:spacing w:line="540" w:lineRule="exact"/>
              <w:rPr>
                <w:rFonts w:hint="eastAsia" w:ascii="仿宋" w:hAnsi="仿宋" w:eastAsia="仿宋" w:cs="仿宋"/>
                <w:sz w:val="28"/>
                <w:szCs w:val="28"/>
              </w:rPr>
            </w:pPr>
            <w:r>
              <w:rPr>
                <w:rFonts w:hint="eastAsia" w:ascii="仿宋" w:hAnsi="仿宋" w:eastAsia="仿宋" w:cs="仿宋"/>
                <w:sz w:val="28"/>
                <w:szCs w:val="28"/>
              </w:rPr>
              <w:t>配有氧化铝、碳化硅砂轮</w:t>
            </w:r>
          </w:p>
        </w:tc>
        <w:tc>
          <w:tcPr>
            <w:tcW w:w="1417" w:type="dxa"/>
            <w:vAlign w:val="center"/>
          </w:tcPr>
          <w:p>
            <w:pPr>
              <w:snapToGrid w:val="0"/>
              <w:spacing w:line="540" w:lineRule="exact"/>
              <w:rPr>
                <w:rFonts w:hint="eastAsia" w:ascii="仿宋" w:hAnsi="仿宋" w:eastAsia="仿宋" w:cs="仿宋"/>
                <w:sz w:val="28"/>
                <w:szCs w:val="28"/>
              </w:rPr>
            </w:pPr>
            <w:r>
              <w:rPr>
                <w:rFonts w:hint="eastAsia" w:ascii="仿宋" w:hAnsi="仿宋" w:eastAsia="仿宋" w:cs="仿宋"/>
                <w:sz w:val="28"/>
                <w:szCs w:val="28"/>
              </w:rPr>
              <w:t xml:space="preserve">  3台</w:t>
            </w:r>
          </w:p>
        </w:tc>
        <w:tc>
          <w:tcPr>
            <w:tcW w:w="1876" w:type="dxa"/>
            <w:vAlign w:val="center"/>
          </w:tcPr>
          <w:p>
            <w:pPr>
              <w:snapToGrid w:val="0"/>
              <w:spacing w:line="540" w:lineRule="exact"/>
              <w:ind w:firstLine="560" w:firstLineChars="200"/>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85" w:type="dxa"/>
            <w:vAlign w:val="center"/>
          </w:tcPr>
          <w:p>
            <w:pPr>
              <w:snapToGrid w:val="0"/>
              <w:spacing w:line="5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w:t>
            </w:r>
          </w:p>
        </w:tc>
        <w:tc>
          <w:tcPr>
            <w:tcW w:w="1671" w:type="dxa"/>
            <w:vAlign w:val="center"/>
          </w:tcPr>
          <w:p>
            <w:pPr>
              <w:snapToGrid w:val="0"/>
              <w:spacing w:line="540" w:lineRule="exact"/>
              <w:rPr>
                <w:rFonts w:hint="eastAsia" w:ascii="仿宋" w:hAnsi="仿宋" w:eastAsia="仿宋" w:cs="仿宋"/>
                <w:sz w:val="28"/>
                <w:szCs w:val="28"/>
              </w:rPr>
            </w:pPr>
            <w:r>
              <w:rPr>
                <w:rFonts w:hint="eastAsia" w:ascii="仿宋" w:hAnsi="仿宋" w:eastAsia="仿宋" w:cs="仿宋"/>
                <w:sz w:val="28"/>
                <w:szCs w:val="28"/>
              </w:rPr>
              <w:t>棉纱</w:t>
            </w:r>
          </w:p>
        </w:tc>
        <w:tc>
          <w:tcPr>
            <w:tcW w:w="2268" w:type="dxa"/>
            <w:vAlign w:val="center"/>
          </w:tcPr>
          <w:p>
            <w:pPr>
              <w:snapToGrid w:val="0"/>
              <w:spacing w:line="540" w:lineRule="exact"/>
              <w:rPr>
                <w:rFonts w:hint="eastAsia" w:ascii="仿宋" w:hAnsi="仿宋" w:eastAsia="仿宋" w:cs="仿宋"/>
                <w:sz w:val="28"/>
                <w:szCs w:val="28"/>
              </w:rPr>
            </w:pPr>
          </w:p>
        </w:tc>
        <w:tc>
          <w:tcPr>
            <w:tcW w:w="1417" w:type="dxa"/>
            <w:vAlign w:val="center"/>
          </w:tcPr>
          <w:p>
            <w:pPr>
              <w:snapToGrid w:val="0"/>
              <w:spacing w:line="540" w:lineRule="exact"/>
              <w:rPr>
                <w:rFonts w:hint="eastAsia" w:ascii="仿宋" w:hAnsi="仿宋" w:eastAsia="仿宋" w:cs="仿宋"/>
                <w:sz w:val="28"/>
                <w:szCs w:val="28"/>
              </w:rPr>
            </w:pPr>
            <w:r>
              <w:rPr>
                <w:rFonts w:hint="eastAsia" w:ascii="仿宋" w:hAnsi="仿宋" w:eastAsia="仿宋" w:cs="仿宋"/>
                <w:sz w:val="28"/>
                <w:szCs w:val="28"/>
              </w:rPr>
              <w:t xml:space="preserve">  少许</w:t>
            </w:r>
          </w:p>
        </w:tc>
        <w:tc>
          <w:tcPr>
            <w:tcW w:w="1876" w:type="dxa"/>
            <w:vAlign w:val="center"/>
          </w:tcPr>
          <w:p>
            <w:pPr>
              <w:snapToGrid w:val="0"/>
              <w:spacing w:line="540" w:lineRule="exact"/>
              <w:ind w:firstLine="560" w:firstLineChars="200"/>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85" w:type="dxa"/>
            <w:vAlign w:val="center"/>
          </w:tcPr>
          <w:p>
            <w:pPr>
              <w:snapToGrid w:val="0"/>
              <w:spacing w:line="5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w:t>
            </w:r>
          </w:p>
        </w:tc>
        <w:tc>
          <w:tcPr>
            <w:tcW w:w="1671" w:type="dxa"/>
            <w:vAlign w:val="center"/>
          </w:tcPr>
          <w:p>
            <w:pPr>
              <w:snapToGrid w:val="0"/>
              <w:spacing w:line="540" w:lineRule="exact"/>
              <w:rPr>
                <w:rFonts w:hint="eastAsia" w:ascii="仿宋" w:hAnsi="仿宋" w:eastAsia="仿宋" w:cs="仿宋"/>
                <w:sz w:val="28"/>
                <w:szCs w:val="28"/>
              </w:rPr>
            </w:pPr>
            <w:r>
              <w:rPr>
                <w:rFonts w:hint="eastAsia" w:ascii="仿宋" w:hAnsi="仿宋" w:eastAsia="仿宋" w:cs="仿宋"/>
                <w:sz w:val="28"/>
                <w:szCs w:val="28"/>
              </w:rPr>
              <w:t>垫铁</w:t>
            </w:r>
          </w:p>
        </w:tc>
        <w:tc>
          <w:tcPr>
            <w:tcW w:w="2268" w:type="dxa"/>
            <w:vAlign w:val="center"/>
          </w:tcPr>
          <w:p>
            <w:pPr>
              <w:snapToGrid w:val="0"/>
              <w:spacing w:line="540" w:lineRule="exact"/>
              <w:ind w:firstLine="560" w:firstLineChars="200"/>
              <w:rPr>
                <w:rFonts w:hint="eastAsia" w:ascii="仿宋" w:hAnsi="仿宋" w:eastAsia="仿宋" w:cs="仿宋"/>
                <w:sz w:val="28"/>
                <w:szCs w:val="28"/>
              </w:rPr>
            </w:pPr>
          </w:p>
        </w:tc>
        <w:tc>
          <w:tcPr>
            <w:tcW w:w="1417" w:type="dxa"/>
            <w:vAlign w:val="center"/>
          </w:tcPr>
          <w:p>
            <w:pPr>
              <w:snapToGrid w:val="0"/>
              <w:spacing w:line="540" w:lineRule="exact"/>
              <w:rPr>
                <w:rFonts w:hint="eastAsia" w:ascii="仿宋" w:hAnsi="仿宋" w:eastAsia="仿宋" w:cs="仿宋"/>
                <w:sz w:val="28"/>
                <w:szCs w:val="28"/>
              </w:rPr>
            </w:pPr>
            <w:r>
              <w:rPr>
                <w:rFonts w:hint="eastAsia" w:ascii="仿宋" w:hAnsi="仿宋" w:eastAsia="仿宋" w:cs="仿宋"/>
                <w:sz w:val="28"/>
                <w:szCs w:val="28"/>
              </w:rPr>
              <w:t xml:space="preserve">  2块</w:t>
            </w:r>
          </w:p>
        </w:tc>
        <w:tc>
          <w:tcPr>
            <w:tcW w:w="1876" w:type="dxa"/>
            <w:vAlign w:val="center"/>
          </w:tcPr>
          <w:p>
            <w:pPr>
              <w:snapToGrid w:val="0"/>
              <w:spacing w:line="540" w:lineRule="exact"/>
              <w:rPr>
                <w:rFonts w:hint="eastAsia" w:ascii="仿宋" w:hAnsi="仿宋" w:eastAsia="仿宋" w:cs="仿宋"/>
                <w:sz w:val="28"/>
                <w:szCs w:val="28"/>
              </w:rPr>
            </w:pPr>
            <w:r>
              <w:rPr>
                <w:rFonts w:hint="eastAsia" w:ascii="仿宋" w:hAnsi="仿宋" w:eastAsia="仿宋" w:cs="仿宋"/>
                <w:sz w:val="28"/>
                <w:szCs w:val="28"/>
              </w:rPr>
              <w:t>允许选手自带标准垫铁</w:t>
            </w:r>
          </w:p>
        </w:tc>
      </w:tr>
    </w:tbl>
    <w:p>
      <w:pPr>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4．刀具、量具、工具和夹具</w:t>
      </w:r>
    </w:p>
    <w:p>
      <w:pPr>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（1）赛场提供基本常用工具，允许选手自带手动工具，种类、数量不限。</w:t>
      </w:r>
    </w:p>
    <w:p>
      <w:pPr>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（2）赛场不提供刀具、量具，选手可依据提前公布的样题自带刀具、量具，种类、数量不限。</w:t>
      </w:r>
    </w:p>
    <w:p>
      <w:pPr>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（3） 赛场提供刀柄，不允许选手自带，允许选手自带工具车或工具箱。</w:t>
      </w:r>
    </w:p>
    <w:p>
      <w:pPr>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（4） 选手自带量检具，大赛不列出量具清单，选手可自带量检具 （可由选手根据公布的样题加工要素和精度要求，自带所需全部量检具）。</w:t>
      </w:r>
    </w:p>
    <w:p>
      <w:pPr>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（5）允许选手自带平口钳等通用夹具和标准长条型垫铁。但不允许携带二类工装夹具。</w:t>
      </w:r>
    </w:p>
    <w:p>
      <w:pPr>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（6）辅助工具及保护用品清单</w:t>
      </w:r>
    </w:p>
    <w:p>
      <w:pPr>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辅助工具各选手可根据样题，个人自主携带。如：铜皮、垫片、剪刀、 铜锤、手动扳手、螺丝刀内六角扳手、小平板等工具。另外选手需自带护目镜等安全用品。</w:t>
      </w:r>
    </w:p>
    <w:p>
      <w:pPr>
        <w:spacing w:line="560" w:lineRule="exact"/>
        <w:ind w:firstLine="560" w:firstLineChars="200"/>
        <w:rPr>
          <w:rFonts w:hint="eastAsia" w:ascii="仿宋" w:hAnsi="仿宋" w:eastAsia="仿宋" w:cs="仿宋"/>
          <w:sz w:val="28"/>
          <w:szCs w:val="28"/>
        </w:rPr>
      </w:pPr>
      <w:r>
        <w:rPr>
          <w:rFonts w:hint="eastAsia" w:ascii="仿宋" w:hAnsi="仿宋" w:eastAsia="仿宋" w:cs="仿宋"/>
          <w:color w:val="000000"/>
          <w:sz w:val="28"/>
          <w:szCs w:val="28"/>
        </w:rPr>
        <w:t>选手不允许携带自制工装、芯轴、毛坯、存储介质、无线通信设备以及危险物品，不允许携带任何电动及气动工具，严禁选手携带防锈清洗剂等易燃易爆化学品。</w:t>
      </w:r>
    </w:p>
    <w:p>
      <w:pPr>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（二）软件技术平台</w:t>
      </w:r>
    </w:p>
    <w:p>
      <w:pPr>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赛场使用的CAD/CAM软件由企业统一提供，赛场计算机预装下列正版软件，选手在比赛时可任选其一。</w:t>
      </w:r>
    </w:p>
    <w:p>
      <w:pPr>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1.北京数码大方科技股份有限公司：CAXA制造工程师2020。</w:t>
      </w:r>
    </w:p>
    <w:p>
      <w:pPr>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2.广州中望龙腾软件股份有限公司：中望3D 2020教育版。</w:t>
      </w:r>
    </w:p>
    <w:p>
      <w:pPr>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3.北京昊威科技有限公司：MasterCAM 2021</w:t>
      </w:r>
    </w:p>
    <w:p>
      <w:pPr>
        <w:snapToGrid w:val="0"/>
        <w:spacing w:line="560" w:lineRule="exact"/>
        <w:ind w:firstLine="562"/>
        <w:rPr>
          <w:rFonts w:hint="eastAsia" w:ascii="仿宋" w:hAnsi="仿宋" w:eastAsia="仿宋" w:cs="仿宋"/>
          <w:b/>
          <w:kern w:val="0"/>
          <w:sz w:val="28"/>
          <w:szCs w:val="28"/>
        </w:rPr>
      </w:pPr>
      <w:r>
        <w:rPr>
          <w:rFonts w:hint="eastAsia" w:ascii="仿宋" w:hAnsi="仿宋" w:eastAsia="仿宋" w:cs="仿宋"/>
          <w:b/>
          <w:kern w:val="0"/>
          <w:sz w:val="28"/>
          <w:szCs w:val="28"/>
          <w:lang w:val="en-US" w:eastAsia="zh-CN"/>
        </w:rPr>
        <w:t>八</w:t>
      </w:r>
      <w:r>
        <w:rPr>
          <w:rFonts w:hint="eastAsia" w:ascii="仿宋" w:hAnsi="仿宋" w:eastAsia="仿宋" w:cs="仿宋"/>
          <w:b/>
          <w:kern w:val="0"/>
          <w:sz w:val="28"/>
          <w:szCs w:val="28"/>
        </w:rPr>
        <w:t>、评分办法</w:t>
      </w:r>
    </w:p>
    <w:p>
      <w:pPr>
        <w:widowControl/>
        <w:jc w:val="left"/>
        <w:rPr>
          <w:rFonts w:hint="eastAsia" w:ascii="仿宋" w:hAnsi="仿宋" w:eastAsia="仿宋" w:cs="仿宋"/>
          <w:color w:val="000000"/>
          <w:kern w:val="0"/>
          <w:sz w:val="28"/>
          <w:szCs w:val="28"/>
          <w:lang w:bidi="ar"/>
        </w:rPr>
      </w:pPr>
      <w:bookmarkStart w:id="0" w:name="_Toc47743534"/>
      <w:r>
        <w:rPr>
          <w:rFonts w:hint="eastAsia" w:ascii="仿宋" w:hAnsi="仿宋" w:eastAsia="仿宋" w:cs="仿宋"/>
          <w:color w:val="000000"/>
          <w:kern w:val="0"/>
          <w:sz w:val="28"/>
          <w:szCs w:val="28"/>
          <w:lang w:bidi="ar"/>
        </w:rPr>
        <w:t>1.评判流程</w:t>
      </w:r>
      <w:bookmarkEnd w:id="0"/>
    </w:p>
    <w:p>
      <w:pPr>
        <w:widowControl/>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 xml:space="preserve">首先完成现场记录评分，包括有无更换毛坯及是否安全文明操作，由实操现场裁判打分并由选手签字确认后交给加密员加密； </w:t>
      </w:r>
    </w:p>
    <w:p>
      <w:pPr>
        <w:widowControl/>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竞赛结束后由裁判组统一进行零件主观评测，共同打分并记录结果；</w:t>
      </w:r>
    </w:p>
    <w:p>
      <w:pPr>
        <w:widowControl/>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零件所有尺寸尽量采用手动量具测量的尺寸每个裁判员每次只能测量一个数据并采用复检制；</w:t>
      </w:r>
    </w:p>
    <w:p>
      <w:pPr>
        <w:widowControl/>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所有检测数据由裁判长指定的录入裁判员输入评分系统进行评分、统计与排名后解密。</w:t>
      </w:r>
    </w:p>
    <w:p>
      <w:pPr>
        <w:widowControl/>
        <w:jc w:val="left"/>
        <w:rPr>
          <w:rFonts w:hint="eastAsia" w:ascii="仿宋" w:hAnsi="仿宋" w:eastAsia="仿宋" w:cs="仿宋"/>
          <w:color w:val="000000"/>
          <w:kern w:val="0"/>
          <w:sz w:val="28"/>
          <w:szCs w:val="28"/>
          <w:lang w:bidi="ar"/>
        </w:rPr>
      </w:pPr>
      <w:bookmarkStart w:id="1" w:name="_Toc47743535"/>
      <w:r>
        <w:rPr>
          <w:rFonts w:hint="eastAsia" w:ascii="仿宋" w:hAnsi="仿宋" w:eastAsia="仿宋" w:cs="仿宋"/>
          <w:color w:val="000000"/>
          <w:kern w:val="0"/>
          <w:sz w:val="28"/>
          <w:szCs w:val="28"/>
          <w:lang w:bidi="ar"/>
        </w:rPr>
        <w:t>2.评判的硬件设备要求</w:t>
      </w:r>
      <w:bookmarkEnd w:id="1"/>
    </w:p>
    <w:p>
      <w:pPr>
        <w:widowControl/>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检测量具：数显游标卡尺、数显内、外径千分尺、数显深度千分尺、数显高度尺、台式、杠杆千分表、百分表、螺纹塞规、标准块规等。</w:t>
      </w:r>
    </w:p>
    <w:p>
      <w:pPr>
        <w:widowControl/>
        <w:jc w:val="left"/>
        <w:rPr>
          <w:rFonts w:hint="eastAsia" w:ascii="仿宋" w:hAnsi="仿宋" w:eastAsia="仿宋" w:cs="仿宋"/>
          <w:color w:val="000000"/>
          <w:kern w:val="0"/>
          <w:sz w:val="28"/>
          <w:szCs w:val="28"/>
          <w:lang w:bidi="ar"/>
        </w:rPr>
      </w:pPr>
      <w:bookmarkStart w:id="2" w:name="_Toc47743536"/>
      <w:r>
        <w:rPr>
          <w:rFonts w:hint="eastAsia" w:ascii="仿宋" w:hAnsi="仿宋" w:eastAsia="仿宋" w:cs="仿宋"/>
          <w:color w:val="000000"/>
          <w:kern w:val="0"/>
          <w:sz w:val="28"/>
          <w:szCs w:val="28"/>
          <w:lang w:bidi="ar"/>
        </w:rPr>
        <w:t>3.评判的方法</w:t>
      </w:r>
      <w:bookmarkEnd w:id="2"/>
    </w:p>
    <w:p>
      <w:pPr>
        <w:widowControl/>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（1）在用手工量具测量直径尺寸时，至少需要测量三处。测量时应避开夹伤、碰伤、毛刺点，一处不合格，即判为不合格；</w:t>
      </w:r>
    </w:p>
    <w:p>
      <w:pPr>
        <w:widowControl/>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（2）手工量具测量长度、槽宽、槽深和平行度时，至少需要测量三处，一处不合格，即判为不合格；</w:t>
      </w:r>
    </w:p>
    <w:p>
      <w:pPr>
        <w:widowControl/>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（3）螺纹由人工利用螺纹塞规进行检测，合格得分，不合格不得分。</w:t>
      </w:r>
    </w:p>
    <w:p>
      <w:pPr>
        <w:widowControl/>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（4） 主观评判时，由裁判组针对被评测的要素按照四级评分制去评测，即：</w:t>
      </w:r>
    </w:p>
    <w:p>
      <w:pPr>
        <w:widowControl/>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0分--未达到工业标准；</w:t>
      </w:r>
    </w:p>
    <w:p>
      <w:pPr>
        <w:widowControl/>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0.5分--达到工业标准；</w:t>
      </w:r>
    </w:p>
    <w:p>
      <w:pPr>
        <w:widowControl/>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1.5分--达到工业标准并部分超过工业标准；</w:t>
      </w:r>
    </w:p>
    <w:p>
      <w:pPr>
        <w:widowControl/>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2分--达到工业标准，并全面超过工业标准；</w:t>
      </w:r>
    </w:p>
    <w:p>
      <w:pPr>
        <w:widowControl/>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裁判组所给分数的平均值作为该要素最终得分。</w:t>
      </w:r>
    </w:p>
    <w:p>
      <w:pPr>
        <w:snapToGrid w:val="0"/>
        <w:spacing w:line="560" w:lineRule="exact"/>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lang w:val="en-US" w:eastAsia="zh-CN"/>
        </w:rPr>
        <w:t>九</w:t>
      </w:r>
      <w:r>
        <w:rPr>
          <w:rFonts w:hint="eastAsia" w:ascii="仿宋" w:hAnsi="仿宋" w:eastAsia="仿宋" w:cs="仿宋"/>
          <w:b/>
          <w:kern w:val="0"/>
          <w:sz w:val="28"/>
          <w:szCs w:val="28"/>
        </w:rPr>
        <w:t>、奖项设定</w:t>
      </w:r>
    </w:p>
    <w:p>
      <w:pPr>
        <w:snapToGrid w:val="0"/>
        <w:spacing w:line="560" w:lineRule="exact"/>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按实际参赛人（队）数的 1</w:t>
      </w:r>
      <w:r>
        <w:rPr>
          <w:rFonts w:hint="eastAsia" w:ascii="仿宋" w:hAnsi="仿宋" w:eastAsia="仿宋" w:cs="仿宋"/>
          <w:color w:val="000000"/>
          <w:kern w:val="0"/>
          <w:sz w:val="28"/>
          <w:szCs w:val="28"/>
          <w:lang w:val="en-US" w:eastAsia="zh-CN" w:bidi="ar"/>
        </w:rPr>
        <w:t>5</w:t>
      </w:r>
      <w:r>
        <w:rPr>
          <w:rFonts w:hint="eastAsia" w:ascii="仿宋" w:hAnsi="仿宋" w:eastAsia="仿宋" w:cs="仿宋"/>
          <w:color w:val="000000"/>
          <w:kern w:val="0"/>
          <w:sz w:val="28"/>
          <w:szCs w:val="28"/>
          <w:lang w:bidi="ar"/>
        </w:rPr>
        <w:t>%、2</w:t>
      </w:r>
      <w:r>
        <w:rPr>
          <w:rFonts w:hint="eastAsia" w:ascii="仿宋" w:hAnsi="仿宋" w:eastAsia="仿宋" w:cs="仿宋"/>
          <w:color w:val="000000"/>
          <w:kern w:val="0"/>
          <w:sz w:val="28"/>
          <w:szCs w:val="28"/>
          <w:lang w:val="en-US" w:eastAsia="zh-CN" w:bidi="ar"/>
        </w:rPr>
        <w:t>5</w:t>
      </w:r>
      <w:r>
        <w:rPr>
          <w:rFonts w:hint="eastAsia" w:ascii="仿宋" w:hAnsi="仿宋" w:eastAsia="仿宋" w:cs="仿宋"/>
          <w:color w:val="000000"/>
          <w:kern w:val="0"/>
          <w:sz w:val="28"/>
          <w:szCs w:val="28"/>
          <w:lang w:bidi="ar"/>
        </w:rPr>
        <w:t>%、3</w:t>
      </w:r>
      <w:r>
        <w:rPr>
          <w:rFonts w:hint="eastAsia" w:ascii="仿宋" w:hAnsi="仿宋" w:eastAsia="仿宋" w:cs="仿宋"/>
          <w:color w:val="000000"/>
          <w:kern w:val="0"/>
          <w:sz w:val="28"/>
          <w:szCs w:val="28"/>
          <w:lang w:val="en-US" w:eastAsia="zh-CN" w:bidi="ar"/>
        </w:rPr>
        <w:t>5</w:t>
      </w:r>
      <w:r>
        <w:rPr>
          <w:rFonts w:hint="eastAsia" w:ascii="仿宋" w:hAnsi="仿宋" w:eastAsia="仿宋" w:cs="仿宋"/>
          <w:color w:val="000000"/>
          <w:kern w:val="0"/>
          <w:sz w:val="28"/>
          <w:szCs w:val="28"/>
          <w:lang w:bidi="ar"/>
        </w:rPr>
        <w:t>%（小数点后四舍五入）分设一、二、三等奖。其他情况按照竞赛规程总则执行。</w:t>
      </w:r>
    </w:p>
    <w:p>
      <w:pPr>
        <w:snapToGrid w:val="0"/>
        <w:spacing w:line="560" w:lineRule="exact"/>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十、申诉与仲裁</w:t>
      </w:r>
    </w:p>
    <w:p>
      <w:pPr>
        <w:snapToGrid w:val="0"/>
        <w:spacing w:line="560" w:lineRule="exact"/>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1.各参赛队对不符合赛项规程规定的仪器、设备、工装、材料、物件、计算机软硬件、竞赛使用工具、用品，竞赛执裁、赛场管理、竞赛成绩，以及工作人员的不规范行为等，可向赛项仲裁组提出申诉，申诉主体为参赛队领队。</w:t>
      </w:r>
    </w:p>
    <w:p>
      <w:pPr>
        <w:snapToGrid w:val="0"/>
        <w:spacing w:line="560" w:lineRule="exact"/>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2.申诉启动时，参赛队向赛项仲裁组递交领队亲笔签字同意的书面报告。书面报告应对申诉事件的现象、发生时间、涉及人员、申诉依据等进行充分、实事求是的叙述。非书面申诉不予受理。</w:t>
      </w:r>
    </w:p>
    <w:p>
      <w:pPr>
        <w:snapToGrid w:val="0"/>
        <w:spacing w:line="560" w:lineRule="exact"/>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3.提出申诉的时间应在比赛结束后(选手赛场比赛内容全部完成)2 小时内。超过时效不予受理。</w:t>
      </w:r>
    </w:p>
    <w:p>
      <w:pPr>
        <w:snapToGrid w:val="0"/>
        <w:spacing w:line="560" w:lineRule="exact"/>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4.赛项仲裁组在接到申诉报告后的 2 小时内组织复议，并及时将复议结果以书面形式告知申诉方。申诉方对复议结果仍有异议，可由领队向比赛监督员提出申诉，由监督员传达最终仲裁结果。</w:t>
      </w:r>
    </w:p>
    <w:p>
      <w:pPr>
        <w:snapToGrid w:val="0"/>
        <w:spacing w:line="560" w:lineRule="exact"/>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5.申诉方不得以任何理由拒绝接收仲裁结果，不得以任何理由采取过激行为扰乱赛场秩序。仲裁结果由申诉人签收，不能代收，如在约定时间和地点申诉人离开，视为自行放弃申诉。</w:t>
      </w:r>
    </w:p>
    <w:p>
      <w:pPr>
        <w:snapToGrid w:val="0"/>
        <w:spacing w:line="560" w:lineRule="exact"/>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6.申诉方可随时提出放弃申诉。</w:t>
      </w:r>
    </w:p>
    <w:p>
      <w:pPr>
        <w:snapToGrid w:val="0"/>
        <w:spacing w:line="560" w:lineRule="exact"/>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十</w:t>
      </w:r>
      <w:r>
        <w:rPr>
          <w:rFonts w:hint="eastAsia" w:ascii="仿宋" w:hAnsi="仿宋" w:eastAsia="仿宋" w:cs="仿宋"/>
          <w:b/>
          <w:kern w:val="0"/>
          <w:sz w:val="28"/>
          <w:szCs w:val="28"/>
          <w:lang w:val="en-US" w:eastAsia="zh-CN"/>
        </w:rPr>
        <w:t>一</w:t>
      </w:r>
      <w:r>
        <w:rPr>
          <w:rFonts w:hint="eastAsia" w:ascii="仿宋" w:hAnsi="仿宋" w:eastAsia="仿宋" w:cs="仿宋"/>
          <w:b/>
          <w:kern w:val="0"/>
          <w:sz w:val="28"/>
          <w:szCs w:val="28"/>
        </w:rPr>
        <w:t>、赛项安全</w:t>
      </w:r>
    </w:p>
    <w:p>
      <w:pPr>
        <w:rPr>
          <w:rFonts w:hint="eastAsia" w:ascii="仿宋" w:hAnsi="仿宋" w:eastAsia="仿宋" w:cs="仿宋"/>
          <w:color w:val="000000"/>
          <w:kern w:val="0"/>
          <w:sz w:val="28"/>
          <w:szCs w:val="28"/>
          <w:lang w:bidi="ar"/>
        </w:rPr>
      </w:pPr>
      <w:bookmarkStart w:id="3" w:name="_Toc47743548"/>
      <w:r>
        <w:rPr>
          <w:rFonts w:hint="eastAsia" w:ascii="仿宋" w:hAnsi="仿宋" w:eastAsia="仿宋" w:cs="仿宋"/>
          <w:color w:val="000000"/>
          <w:kern w:val="0"/>
          <w:sz w:val="28"/>
          <w:szCs w:val="28"/>
          <w:lang w:bidi="ar"/>
        </w:rPr>
        <w:t>1.</w:t>
      </w:r>
      <w:bookmarkEnd w:id="3"/>
      <w:bookmarkStart w:id="4" w:name="_Toc47743549"/>
      <w:r>
        <w:rPr>
          <w:rFonts w:hint="eastAsia" w:ascii="仿宋" w:hAnsi="仿宋" w:eastAsia="仿宋" w:cs="仿宋"/>
          <w:color w:val="000000"/>
          <w:kern w:val="0"/>
          <w:sz w:val="28"/>
          <w:szCs w:val="28"/>
          <w:lang w:bidi="ar"/>
        </w:rPr>
        <w:t>选手安全防护措施要求</w:t>
      </w:r>
      <w:bookmarkEnd w:id="4"/>
    </w:p>
    <w:p>
      <w:pPr>
        <w:spacing w:line="480" w:lineRule="exact"/>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参赛选手必须按照规定穿戴防护装备，见下表：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693"/>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shd w:val="clear" w:color="auto" w:fill="auto"/>
            <w:vAlign w:val="center"/>
          </w:tcPr>
          <w:p>
            <w:pPr>
              <w:spacing w:line="480" w:lineRule="exact"/>
              <w:jc w:val="center"/>
              <w:rPr>
                <w:rFonts w:hint="eastAsia" w:ascii="仿宋" w:hAnsi="仿宋" w:eastAsia="仿宋" w:cs="仿宋"/>
                <w:b/>
                <w:sz w:val="28"/>
                <w:szCs w:val="28"/>
              </w:rPr>
            </w:pPr>
            <w:r>
              <w:rPr>
                <w:rFonts w:hint="eastAsia" w:ascii="仿宋" w:hAnsi="仿宋" w:eastAsia="仿宋" w:cs="仿宋"/>
                <w:b/>
                <w:sz w:val="28"/>
                <w:szCs w:val="28"/>
              </w:rPr>
              <w:t>防护项目</w:t>
            </w:r>
          </w:p>
        </w:tc>
        <w:tc>
          <w:tcPr>
            <w:tcW w:w="2693" w:type="dxa"/>
            <w:shd w:val="clear" w:color="auto" w:fill="auto"/>
            <w:vAlign w:val="center"/>
          </w:tcPr>
          <w:p>
            <w:pPr>
              <w:spacing w:line="480" w:lineRule="exact"/>
              <w:jc w:val="center"/>
              <w:rPr>
                <w:rFonts w:hint="eastAsia" w:ascii="仿宋" w:hAnsi="仿宋" w:eastAsia="仿宋" w:cs="仿宋"/>
                <w:b/>
                <w:sz w:val="28"/>
                <w:szCs w:val="28"/>
              </w:rPr>
            </w:pPr>
            <w:r>
              <w:rPr>
                <w:rFonts w:hint="eastAsia" w:ascii="仿宋" w:hAnsi="仿宋" w:eastAsia="仿宋" w:cs="仿宋"/>
                <w:b/>
                <w:sz w:val="28"/>
                <w:szCs w:val="28"/>
              </w:rPr>
              <w:t>图示</w:t>
            </w:r>
          </w:p>
        </w:tc>
        <w:tc>
          <w:tcPr>
            <w:tcW w:w="4111" w:type="dxa"/>
            <w:shd w:val="clear" w:color="auto" w:fill="auto"/>
            <w:vAlign w:val="center"/>
          </w:tcPr>
          <w:p>
            <w:pPr>
              <w:spacing w:line="480" w:lineRule="exact"/>
              <w:jc w:val="center"/>
              <w:rPr>
                <w:rFonts w:hint="eastAsia" w:ascii="仿宋" w:hAnsi="仿宋" w:eastAsia="仿宋" w:cs="仿宋"/>
                <w:b/>
                <w:sz w:val="28"/>
                <w:szCs w:val="28"/>
              </w:rPr>
            </w:pPr>
            <w:r>
              <w:rPr>
                <w:rFonts w:hint="eastAsia" w:ascii="仿宋" w:hAnsi="仿宋" w:eastAsia="仿宋" w:cs="仿宋"/>
                <w:b/>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1668" w:type="dxa"/>
            <w:shd w:val="clear" w:color="auto" w:fill="auto"/>
            <w:vAlign w:val="center"/>
          </w:tcPr>
          <w:p>
            <w:pPr>
              <w:spacing w:line="480" w:lineRule="exact"/>
              <w:jc w:val="center"/>
              <w:rPr>
                <w:rFonts w:hint="eastAsia" w:ascii="仿宋" w:hAnsi="仿宋" w:eastAsia="仿宋" w:cs="仿宋"/>
                <w:sz w:val="28"/>
                <w:szCs w:val="28"/>
              </w:rPr>
            </w:pPr>
            <w:r>
              <w:rPr>
                <w:rFonts w:hint="eastAsia" w:ascii="仿宋" w:hAnsi="仿宋" w:eastAsia="仿宋" w:cs="仿宋"/>
                <w:sz w:val="28"/>
                <w:szCs w:val="28"/>
              </w:rPr>
              <w:t>眼睛的防护</w:t>
            </w:r>
          </w:p>
        </w:tc>
        <w:tc>
          <w:tcPr>
            <w:tcW w:w="2693" w:type="dxa"/>
            <w:shd w:val="clear" w:color="auto" w:fill="auto"/>
            <w:vAlign w:val="center"/>
          </w:tcPr>
          <w:p>
            <w:pPr>
              <w:spacing w:line="480" w:lineRule="exact"/>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0288" behindDoc="0" locked="0" layoutInCell="1" allowOverlap="1">
                  <wp:simplePos x="0" y="0"/>
                  <wp:positionH relativeFrom="column">
                    <wp:posOffset>439420</wp:posOffset>
                  </wp:positionH>
                  <wp:positionV relativeFrom="paragraph">
                    <wp:posOffset>108585</wp:posOffset>
                  </wp:positionV>
                  <wp:extent cx="806450" cy="483235"/>
                  <wp:effectExtent l="0" t="0" r="0" b="0"/>
                  <wp:wrapSquare wrapText="bothSides"/>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806450" cy="483235"/>
                          </a:xfrm>
                          <a:prstGeom prst="rect">
                            <a:avLst/>
                          </a:prstGeom>
                          <a:noFill/>
                        </pic:spPr>
                      </pic:pic>
                    </a:graphicData>
                  </a:graphic>
                </wp:anchor>
              </w:drawing>
            </w:r>
          </w:p>
        </w:tc>
        <w:tc>
          <w:tcPr>
            <w:tcW w:w="4111" w:type="dxa"/>
            <w:shd w:val="clear" w:color="auto" w:fill="auto"/>
            <w:vAlign w:val="center"/>
          </w:tcPr>
          <w:p>
            <w:pPr>
              <w:rPr>
                <w:rFonts w:hint="eastAsia" w:ascii="仿宋" w:hAnsi="仿宋" w:eastAsia="仿宋" w:cs="仿宋"/>
                <w:sz w:val="28"/>
                <w:szCs w:val="28"/>
              </w:rPr>
            </w:pPr>
            <w:r>
              <w:rPr>
                <w:rFonts w:hint="eastAsia" w:ascii="仿宋" w:hAnsi="仿宋" w:eastAsia="仿宋" w:cs="仿宋"/>
                <w:sz w:val="28"/>
                <w:szCs w:val="28"/>
              </w:rPr>
              <w:t>1.防溅入</w:t>
            </w:r>
          </w:p>
          <w:p>
            <w:pPr>
              <w:rPr>
                <w:rFonts w:hint="eastAsia" w:ascii="仿宋" w:hAnsi="仿宋" w:eastAsia="仿宋" w:cs="仿宋"/>
                <w:sz w:val="28"/>
                <w:szCs w:val="28"/>
              </w:rPr>
            </w:pPr>
            <w:r>
              <w:rPr>
                <w:rFonts w:hint="eastAsia" w:ascii="仿宋" w:hAnsi="仿宋" w:eastAsia="仿宋" w:cs="仿宋"/>
                <w:sz w:val="28"/>
                <w:szCs w:val="28"/>
              </w:rPr>
              <w:t>2.带近视镜也必须佩戴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1668" w:type="dxa"/>
            <w:shd w:val="clear" w:color="auto" w:fill="auto"/>
            <w:vAlign w:val="center"/>
          </w:tcPr>
          <w:p>
            <w:pPr>
              <w:spacing w:line="480" w:lineRule="exact"/>
              <w:jc w:val="center"/>
              <w:rPr>
                <w:rFonts w:hint="eastAsia" w:ascii="仿宋" w:hAnsi="仿宋" w:eastAsia="仿宋" w:cs="仿宋"/>
                <w:sz w:val="28"/>
                <w:szCs w:val="28"/>
              </w:rPr>
            </w:pPr>
            <w:r>
              <w:rPr>
                <w:rFonts w:hint="eastAsia" w:ascii="仿宋" w:hAnsi="仿宋" w:eastAsia="仿宋" w:cs="仿宋"/>
                <w:sz w:val="28"/>
                <w:szCs w:val="28"/>
              </w:rPr>
              <w:t>足部的防护</w:t>
            </w:r>
          </w:p>
        </w:tc>
        <w:tc>
          <w:tcPr>
            <w:tcW w:w="2693" w:type="dxa"/>
            <w:shd w:val="clear" w:color="auto" w:fill="auto"/>
            <w:vAlign w:val="center"/>
          </w:tcPr>
          <w:p>
            <w:pPr>
              <w:spacing w:line="480" w:lineRule="exact"/>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1312" behindDoc="0" locked="0" layoutInCell="1" allowOverlap="1">
                  <wp:simplePos x="0" y="0"/>
                  <wp:positionH relativeFrom="column">
                    <wp:posOffset>572135</wp:posOffset>
                  </wp:positionH>
                  <wp:positionV relativeFrom="paragraph">
                    <wp:posOffset>74295</wp:posOffset>
                  </wp:positionV>
                  <wp:extent cx="603250" cy="448945"/>
                  <wp:effectExtent l="0" t="0" r="6350" b="8255"/>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03250" cy="448945"/>
                          </a:xfrm>
                          <a:prstGeom prst="rect">
                            <a:avLst/>
                          </a:prstGeom>
                          <a:noFill/>
                        </pic:spPr>
                      </pic:pic>
                    </a:graphicData>
                  </a:graphic>
                </wp:anchor>
              </w:drawing>
            </w:r>
          </w:p>
        </w:tc>
        <w:tc>
          <w:tcPr>
            <w:tcW w:w="4111" w:type="dxa"/>
            <w:shd w:val="clear" w:color="auto" w:fill="auto"/>
            <w:vAlign w:val="center"/>
          </w:tcPr>
          <w:p>
            <w:pPr>
              <w:rPr>
                <w:rFonts w:hint="eastAsia" w:ascii="仿宋" w:hAnsi="仿宋" w:eastAsia="仿宋" w:cs="仿宋"/>
                <w:sz w:val="28"/>
                <w:szCs w:val="28"/>
              </w:rPr>
            </w:pPr>
            <w:r>
              <w:rPr>
                <w:rFonts w:hint="eastAsia" w:ascii="仿宋" w:hAnsi="仿宋" w:eastAsia="仿宋" w:cs="仿宋"/>
                <w:sz w:val="28"/>
                <w:szCs w:val="28"/>
              </w:rPr>
              <w:t>防滑、防砸、防穿刺、绝缘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jc w:val="center"/>
        </w:trPr>
        <w:tc>
          <w:tcPr>
            <w:tcW w:w="1668" w:type="dxa"/>
            <w:shd w:val="clear" w:color="auto" w:fill="auto"/>
            <w:vAlign w:val="center"/>
          </w:tcPr>
          <w:p>
            <w:pPr>
              <w:spacing w:line="480" w:lineRule="exact"/>
              <w:jc w:val="center"/>
              <w:rPr>
                <w:rFonts w:hint="eastAsia" w:ascii="仿宋" w:hAnsi="仿宋" w:eastAsia="仿宋" w:cs="仿宋"/>
                <w:sz w:val="28"/>
                <w:szCs w:val="28"/>
              </w:rPr>
            </w:pPr>
            <w:r>
              <w:rPr>
                <w:rFonts w:hint="eastAsia" w:ascii="仿宋" w:hAnsi="仿宋" w:eastAsia="仿宋" w:cs="仿宋"/>
                <w:sz w:val="28"/>
                <w:szCs w:val="28"/>
              </w:rPr>
              <w:t>工作服</w:t>
            </w:r>
          </w:p>
        </w:tc>
        <w:tc>
          <w:tcPr>
            <w:tcW w:w="2693" w:type="dxa"/>
            <w:shd w:val="clear" w:color="auto" w:fill="auto"/>
            <w:vAlign w:val="center"/>
          </w:tcPr>
          <w:p>
            <w:pPr>
              <w:spacing w:line="480" w:lineRule="exact"/>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59264" behindDoc="0" locked="0" layoutInCell="1" allowOverlap="1">
                  <wp:simplePos x="0" y="0"/>
                  <wp:positionH relativeFrom="column">
                    <wp:posOffset>393065</wp:posOffset>
                  </wp:positionH>
                  <wp:positionV relativeFrom="paragraph">
                    <wp:posOffset>144145</wp:posOffset>
                  </wp:positionV>
                  <wp:extent cx="673735" cy="751205"/>
                  <wp:effectExtent l="0" t="0" r="0" b="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73735" cy="751205"/>
                          </a:xfrm>
                          <a:prstGeom prst="rect">
                            <a:avLst/>
                          </a:prstGeom>
                          <a:noFill/>
                          <a:ln>
                            <a:noFill/>
                          </a:ln>
                        </pic:spPr>
                      </pic:pic>
                    </a:graphicData>
                  </a:graphic>
                </wp:anchor>
              </w:drawing>
            </w:r>
          </w:p>
        </w:tc>
        <w:tc>
          <w:tcPr>
            <w:tcW w:w="4111" w:type="dxa"/>
            <w:shd w:val="clear" w:color="auto" w:fill="auto"/>
            <w:vAlign w:val="center"/>
          </w:tcPr>
          <w:p>
            <w:pPr>
              <w:rPr>
                <w:rFonts w:hint="eastAsia" w:ascii="仿宋" w:hAnsi="仿宋" w:eastAsia="仿宋" w:cs="仿宋"/>
                <w:sz w:val="28"/>
                <w:szCs w:val="28"/>
              </w:rPr>
            </w:pPr>
            <w:r>
              <w:rPr>
                <w:rFonts w:hint="eastAsia" w:ascii="仿宋" w:hAnsi="仿宋" w:eastAsia="仿宋" w:cs="仿宋"/>
                <w:sz w:val="28"/>
                <w:szCs w:val="28"/>
              </w:rPr>
              <w:t>1、必须是长裤</w:t>
            </w:r>
          </w:p>
          <w:p>
            <w:pPr>
              <w:rPr>
                <w:rFonts w:hint="eastAsia" w:ascii="仿宋" w:hAnsi="仿宋" w:eastAsia="仿宋" w:cs="仿宋"/>
                <w:sz w:val="28"/>
                <w:szCs w:val="28"/>
              </w:rPr>
            </w:pPr>
            <w:r>
              <w:rPr>
                <w:rFonts w:hint="eastAsia" w:ascii="仿宋" w:hAnsi="仿宋" w:eastAsia="仿宋" w:cs="仿宋"/>
                <w:sz w:val="28"/>
                <w:szCs w:val="28"/>
              </w:rPr>
              <w:t>2、防护服必须合身不松垮，要达到紧领口、紧袖口、紧下摆的要求</w:t>
            </w:r>
          </w:p>
          <w:p>
            <w:pPr>
              <w:rPr>
                <w:rFonts w:hint="eastAsia" w:ascii="仿宋" w:hAnsi="仿宋" w:eastAsia="仿宋" w:cs="仿宋"/>
                <w:sz w:val="28"/>
                <w:szCs w:val="28"/>
              </w:rPr>
            </w:pPr>
            <w:r>
              <w:rPr>
                <w:rFonts w:hint="eastAsia" w:ascii="仿宋" w:hAnsi="仿宋" w:eastAsia="仿宋" w:cs="仿宋"/>
                <w:sz w:val="28"/>
                <w:szCs w:val="28"/>
              </w:rPr>
              <w:t>3、女生必须带工作帽、长发不得外露</w:t>
            </w:r>
          </w:p>
          <w:p>
            <w:pPr>
              <w:rPr>
                <w:rFonts w:hint="eastAsia" w:ascii="仿宋" w:hAnsi="仿宋" w:eastAsia="仿宋" w:cs="仿宋"/>
                <w:sz w:val="28"/>
                <w:szCs w:val="28"/>
              </w:rPr>
            </w:pPr>
            <w:r>
              <w:rPr>
                <w:rFonts w:hint="eastAsia" w:ascii="仿宋" w:hAnsi="仿宋" w:eastAsia="仿宋" w:cs="仿宋"/>
                <w:sz w:val="28"/>
                <w:szCs w:val="28"/>
              </w:rPr>
              <w:t>4、操作机床时不允许戴手套</w:t>
            </w:r>
          </w:p>
        </w:tc>
      </w:tr>
    </w:tbl>
    <w:p>
      <w:pPr>
        <w:spacing w:line="480" w:lineRule="exact"/>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全省选拔赛时，裁判员对违反安全与健康条例、违反操作规程的选手和现象将提出警告并进行纠正。不听警告，不进行纠正的参赛选手将罚去安全分、停止加工或取消本场次竞赛资格等不同程度的惩罚。</w:t>
      </w:r>
    </w:p>
    <w:p>
      <w:pPr>
        <w:spacing w:line="200" w:lineRule="exact"/>
        <w:rPr>
          <w:rFonts w:hint="eastAsia" w:ascii="仿宋" w:hAnsi="仿宋" w:eastAsia="仿宋" w:cs="仿宋"/>
          <w:color w:val="000000"/>
          <w:kern w:val="0"/>
          <w:sz w:val="28"/>
          <w:szCs w:val="28"/>
          <w:lang w:bidi="ar"/>
        </w:rPr>
      </w:pPr>
    </w:p>
    <w:p>
      <w:pPr>
        <w:rPr>
          <w:rFonts w:hint="eastAsia" w:ascii="仿宋" w:hAnsi="仿宋" w:eastAsia="仿宋" w:cs="仿宋"/>
          <w:color w:val="000000"/>
          <w:kern w:val="0"/>
          <w:sz w:val="28"/>
          <w:szCs w:val="28"/>
          <w:lang w:bidi="ar"/>
        </w:rPr>
      </w:pPr>
      <w:bookmarkStart w:id="5" w:name="_Toc47743550"/>
      <w:r>
        <w:rPr>
          <w:rFonts w:hint="eastAsia" w:ascii="仿宋" w:hAnsi="仿宋" w:eastAsia="仿宋" w:cs="仿宋"/>
          <w:color w:val="000000"/>
          <w:kern w:val="0"/>
          <w:sz w:val="28"/>
          <w:szCs w:val="28"/>
          <w:lang w:bidi="ar"/>
        </w:rPr>
        <w:t>2.有毒有害物品的管理和限制</w:t>
      </w:r>
      <w:bookmarkEnd w:id="5"/>
    </w:p>
    <w:p>
      <w:pPr>
        <w:spacing w:line="480" w:lineRule="exact"/>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选手禁止携带易燃易爆物品，见下表所示：</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1472"/>
        <w:gridCol w:w="1473"/>
        <w:gridCol w:w="2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3" w:type="dxa"/>
            <w:shd w:val="clear" w:color="auto" w:fill="auto"/>
            <w:vAlign w:val="center"/>
          </w:tcPr>
          <w:p>
            <w:pPr>
              <w:spacing w:line="480" w:lineRule="exact"/>
              <w:jc w:val="center"/>
              <w:rPr>
                <w:rFonts w:hint="eastAsia" w:ascii="仿宋" w:hAnsi="仿宋" w:eastAsia="仿宋" w:cs="仿宋"/>
                <w:b/>
                <w:sz w:val="28"/>
                <w:szCs w:val="28"/>
              </w:rPr>
            </w:pPr>
            <w:r>
              <w:rPr>
                <w:rFonts w:hint="eastAsia" w:ascii="仿宋" w:hAnsi="仿宋" w:eastAsia="仿宋" w:cs="仿宋"/>
                <w:b/>
                <w:sz w:val="28"/>
                <w:szCs w:val="28"/>
              </w:rPr>
              <w:t>有害物品</w:t>
            </w:r>
          </w:p>
        </w:tc>
        <w:tc>
          <w:tcPr>
            <w:tcW w:w="2945" w:type="dxa"/>
            <w:gridSpan w:val="2"/>
            <w:shd w:val="clear" w:color="auto" w:fill="auto"/>
            <w:vAlign w:val="center"/>
          </w:tcPr>
          <w:p>
            <w:pPr>
              <w:spacing w:line="480" w:lineRule="exact"/>
              <w:jc w:val="center"/>
              <w:rPr>
                <w:rFonts w:hint="eastAsia" w:ascii="仿宋" w:hAnsi="仿宋" w:eastAsia="仿宋" w:cs="仿宋"/>
                <w:b/>
                <w:sz w:val="28"/>
                <w:szCs w:val="28"/>
              </w:rPr>
            </w:pPr>
            <w:r>
              <w:rPr>
                <w:rFonts w:hint="eastAsia" w:ascii="仿宋" w:hAnsi="仿宋" w:eastAsia="仿宋" w:cs="仿宋"/>
                <w:b/>
                <w:sz w:val="28"/>
                <w:szCs w:val="28"/>
              </w:rPr>
              <w:t>图示</w:t>
            </w:r>
          </w:p>
        </w:tc>
        <w:tc>
          <w:tcPr>
            <w:tcW w:w="2945" w:type="dxa"/>
            <w:shd w:val="clear" w:color="auto" w:fill="auto"/>
            <w:vAlign w:val="center"/>
          </w:tcPr>
          <w:p>
            <w:pPr>
              <w:spacing w:line="480" w:lineRule="exact"/>
              <w:jc w:val="center"/>
              <w:rPr>
                <w:rFonts w:hint="eastAsia" w:ascii="仿宋" w:hAnsi="仿宋" w:eastAsia="仿宋" w:cs="仿宋"/>
                <w:b/>
                <w:sz w:val="28"/>
                <w:szCs w:val="28"/>
              </w:rPr>
            </w:pPr>
            <w:r>
              <w:rPr>
                <w:rFonts w:hint="eastAsia" w:ascii="仿宋" w:hAnsi="仿宋" w:eastAsia="仿宋" w:cs="仿宋"/>
                <w:b/>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2093" w:type="dxa"/>
            <w:shd w:val="clear" w:color="auto" w:fill="auto"/>
            <w:vAlign w:val="center"/>
          </w:tcPr>
          <w:p>
            <w:pPr>
              <w:spacing w:line="480" w:lineRule="exact"/>
              <w:jc w:val="center"/>
              <w:rPr>
                <w:rFonts w:hint="eastAsia" w:ascii="仿宋" w:hAnsi="仿宋" w:eastAsia="仿宋" w:cs="仿宋"/>
                <w:sz w:val="28"/>
                <w:szCs w:val="28"/>
              </w:rPr>
            </w:pPr>
            <w:r>
              <w:rPr>
                <w:rFonts w:hint="eastAsia" w:ascii="仿宋" w:hAnsi="仿宋" w:eastAsia="仿宋" w:cs="仿宋"/>
                <w:sz w:val="28"/>
                <w:szCs w:val="28"/>
              </w:rPr>
              <w:t>防锈清洗剂</w:t>
            </w:r>
          </w:p>
        </w:tc>
        <w:tc>
          <w:tcPr>
            <w:tcW w:w="2945" w:type="dxa"/>
            <w:gridSpan w:val="2"/>
            <w:shd w:val="clear" w:color="auto" w:fill="auto"/>
            <w:vAlign w:val="center"/>
          </w:tcPr>
          <w:p>
            <w:pPr>
              <w:spacing w:line="480" w:lineRule="exact"/>
              <w:jc w:val="center"/>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2336" behindDoc="0" locked="0" layoutInCell="1" allowOverlap="1">
                  <wp:simplePos x="0" y="0"/>
                  <wp:positionH relativeFrom="column">
                    <wp:posOffset>413385</wp:posOffset>
                  </wp:positionH>
                  <wp:positionV relativeFrom="paragraph">
                    <wp:posOffset>85090</wp:posOffset>
                  </wp:positionV>
                  <wp:extent cx="596265" cy="596265"/>
                  <wp:effectExtent l="0" t="0" r="0" b="0"/>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96265" cy="596265"/>
                          </a:xfrm>
                          <a:prstGeom prst="rect">
                            <a:avLst/>
                          </a:prstGeom>
                          <a:noFill/>
                          <a:ln>
                            <a:noFill/>
                          </a:ln>
                        </pic:spPr>
                      </pic:pic>
                    </a:graphicData>
                  </a:graphic>
                </wp:anchor>
              </w:drawing>
            </w:r>
          </w:p>
        </w:tc>
        <w:tc>
          <w:tcPr>
            <w:tcW w:w="2945" w:type="dxa"/>
            <w:shd w:val="clear" w:color="auto" w:fill="auto"/>
            <w:vAlign w:val="center"/>
          </w:tcPr>
          <w:p>
            <w:pPr>
              <w:spacing w:line="480" w:lineRule="exact"/>
              <w:jc w:val="center"/>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8480" behindDoc="0" locked="0" layoutInCell="1" allowOverlap="1">
                  <wp:simplePos x="0" y="0"/>
                  <wp:positionH relativeFrom="column">
                    <wp:posOffset>1148715</wp:posOffset>
                  </wp:positionH>
                  <wp:positionV relativeFrom="paragraph">
                    <wp:posOffset>174625</wp:posOffset>
                  </wp:positionV>
                  <wp:extent cx="371475" cy="350520"/>
                  <wp:effectExtent l="0" t="0" r="9525" b="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71475" cy="350520"/>
                          </a:xfrm>
                          <a:prstGeom prst="rect">
                            <a:avLst/>
                          </a:prstGeom>
                          <a:noFill/>
                        </pic:spPr>
                      </pic:pic>
                    </a:graphicData>
                  </a:graphic>
                </wp:anchor>
              </w:drawing>
            </w:r>
            <w:r>
              <w:rPr>
                <w:rFonts w:hint="eastAsia" w:ascii="仿宋" w:hAnsi="仿宋" w:eastAsia="仿宋" w:cs="仿宋"/>
                <w:sz w:val="28"/>
                <w:szCs w:val="28"/>
              </w:rPr>
              <w:t xml:space="preserve">禁止携带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2093" w:type="dxa"/>
            <w:shd w:val="clear" w:color="auto" w:fill="auto"/>
            <w:vAlign w:val="center"/>
          </w:tcPr>
          <w:p>
            <w:pPr>
              <w:spacing w:line="480" w:lineRule="exact"/>
              <w:jc w:val="center"/>
              <w:rPr>
                <w:rFonts w:hint="eastAsia" w:ascii="仿宋" w:hAnsi="仿宋" w:eastAsia="仿宋" w:cs="仿宋"/>
                <w:sz w:val="28"/>
                <w:szCs w:val="28"/>
              </w:rPr>
            </w:pPr>
            <w:r>
              <w:rPr>
                <w:rFonts w:hint="eastAsia" w:ascii="仿宋" w:hAnsi="仿宋" w:eastAsia="仿宋" w:cs="仿宋"/>
                <w:sz w:val="28"/>
                <w:szCs w:val="28"/>
              </w:rPr>
              <w:t>酒精、汽油</w:t>
            </w:r>
          </w:p>
        </w:tc>
        <w:tc>
          <w:tcPr>
            <w:tcW w:w="1472" w:type="dxa"/>
            <w:shd w:val="clear" w:color="auto" w:fill="auto"/>
            <w:vAlign w:val="center"/>
          </w:tcPr>
          <w:p>
            <w:pPr>
              <w:spacing w:line="480" w:lineRule="exact"/>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5408" behindDoc="0" locked="0" layoutInCell="1" allowOverlap="1">
                  <wp:simplePos x="0" y="0"/>
                  <wp:positionH relativeFrom="column">
                    <wp:posOffset>243840</wp:posOffset>
                  </wp:positionH>
                  <wp:positionV relativeFrom="paragraph">
                    <wp:posOffset>69850</wp:posOffset>
                  </wp:positionV>
                  <wp:extent cx="459740" cy="459740"/>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59740" cy="459740"/>
                          </a:xfrm>
                          <a:prstGeom prst="rect">
                            <a:avLst/>
                          </a:prstGeom>
                          <a:noFill/>
                          <a:ln>
                            <a:noFill/>
                          </a:ln>
                        </pic:spPr>
                      </pic:pic>
                    </a:graphicData>
                  </a:graphic>
                </wp:anchor>
              </w:drawing>
            </w:r>
          </w:p>
        </w:tc>
        <w:tc>
          <w:tcPr>
            <w:tcW w:w="1473" w:type="dxa"/>
            <w:shd w:val="clear" w:color="auto" w:fill="auto"/>
            <w:vAlign w:val="center"/>
          </w:tcPr>
          <w:p>
            <w:pPr>
              <w:spacing w:line="480" w:lineRule="exact"/>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6432" behindDoc="0" locked="0" layoutInCell="1" allowOverlap="1">
                  <wp:simplePos x="0" y="0"/>
                  <wp:positionH relativeFrom="column">
                    <wp:posOffset>123825</wp:posOffset>
                  </wp:positionH>
                  <wp:positionV relativeFrom="paragraph">
                    <wp:posOffset>83820</wp:posOffset>
                  </wp:positionV>
                  <wp:extent cx="499745" cy="446405"/>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99745" cy="446405"/>
                          </a:xfrm>
                          <a:prstGeom prst="rect">
                            <a:avLst/>
                          </a:prstGeom>
                          <a:noFill/>
                          <a:ln>
                            <a:noFill/>
                          </a:ln>
                        </pic:spPr>
                      </pic:pic>
                    </a:graphicData>
                  </a:graphic>
                </wp:anchor>
              </w:drawing>
            </w:r>
          </w:p>
        </w:tc>
        <w:tc>
          <w:tcPr>
            <w:tcW w:w="2945" w:type="dxa"/>
            <w:shd w:val="clear" w:color="auto" w:fill="auto"/>
            <w:vAlign w:val="center"/>
          </w:tcPr>
          <w:p>
            <w:pPr>
              <w:spacing w:line="480" w:lineRule="exact"/>
              <w:jc w:val="center"/>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7456" behindDoc="0" locked="0" layoutInCell="1" allowOverlap="1">
                  <wp:simplePos x="0" y="0"/>
                  <wp:positionH relativeFrom="column">
                    <wp:posOffset>1101725</wp:posOffset>
                  </wp:positionH>
                  <wp:positionV relativeFrom="paragraph">
                    <wp:posOffset>101600</wp:posOffset>
                  </wp:positionV>
                  <wp:extent cx="371475" cy="350520"/>
                  <wp:effectExtent l="0" t="0" r="9525"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71475" cy="350520"/>
                          </a:xfrm>
                          <a:prstGeom prst="rect">
                            <a:avLst/>
                          </a:prstGeom>
                          <a:noFill/>
                        </pic:spPr>
                      </pic:pic>
                    </a:graphicData>
                  </a:graphic>
                </wp:anchor>
              </w:drawing>
            </w:r>
            <w:r>
              <w:rPr>
                <w:rFonts w:hint="eastAsia" w:ascii="仿宋" w:hAnsi="仿宋" w:eastAsia="仿宋" w:cs="仿宋"/>
                <w:sz w:val="28"/>
                <w:szCs w:val="28"/>
              </w:rPr>
              <w:t>严禁携带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2093" w:type="dxa"/>
            <w:shd w:val="clear" w:color="auto" w:fill="auto"/>
            <w:vAlign w:val="center"/>
          </w:tcPr>
          <w:p>
            <w:pPr>
              <w:spacing w:line="480" w:lineRule="exact"/>
              <w:jc w:val="center"/>
              <w:rPr>
                <w:rFonts w:hint="eastAsia" w:ascii="仿宋" w:hAnsi="仿宋" w:eastAsia="仿宋" w:cs="仿宋"/>
                <w:sz w:val="28"/>
                <w:szCs w:val="28"/>
              </w:rPr>
            </w:pPr>
            <w:r>
              <w:rPr>
                <w:rFonts w:hint="eastAsia" w:ascii="仿宋" w:hAnsi="仿宋" w:eastAsia="仿宋" w:cs="仿宋"/>
                <w:sz w:val="28"/>
                <w:szCs w:val="28"/>
              </w:rPr>
              <w:t>有毒有害物</w:t>
            </w:r>
          </w:p>
        </w:tc>
        <w:tc>
          <w:tcPr>
            <w:tcW w:w="2945" w:type="dxa"/>
            <w:gridSpan w:val="2"/>
            <w:shd w:val="clear" w:color="auto" w:fill="auto"/>
            <w:vAlign w:val="center"/>
          </w:tcPr>
          <w:p>
            <w:pPr>
              <w:spacing w:line="480" w:lineRule="exact"/>
              <w:jc w:val="center"/>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3360" behindDoc="0" locked="0" layoutInCell="1" allowOverlap="1">
                  <wp:simplePos x="0" y="0"/>
                  <wp:positionH relativeFrom="column">
                    <wp:posOffset>429260</wp:posOffset>
                  </wp:positionH>
                  <wp:positionV relativeFrom="paragraph">
                    <wp:posOffset>93345</wp:posOffset>
                  </wp:positionV>
                  <wp:extent cx="775970" cy="397510"/>
                  <wp:effectExtent l="0" t="0" r="5080" b="254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b="14420"/>
                          <a:stretch>
                            <a:fillRect/>
                          </a:stretch>
                        </pic:blipFill>
                        <pic:spPr>
                          <a:xfrm>
                            <a:off x="0" y="0"/>
                            <a:ext cx="775970" cy="397510"/>
                          </a:xfrm>
                          <a:prstGeom prst="rect">
                            <a:avLst/>
                          </a:prstGeom>
                          <a:noFill/>
                          <a:ln>
                            <a:noFill/>
                          </a:ln>
                        </pic:spPr>
                      </pic:pic>
                    </a:graphicData>
                  </a:graphic>
                </wp:anchor>
              </w:drawing>
            </w:r>
          </w:p>
        </w:tc>
        <w:tc>
          <w:tcPr>
            <w:tcW w:w="2945" w:type="dxa"/>
            <w:shd w:val="clear" w:color="auto" w:fill="auto"/>
            <w:vAlign w:val="center"/>
          </w:tcPr>
          <w:p>
            <w:pPr>
              <w:spacing w:line="480" w:lineRule="exact"/>
              <w:jc w:val="center"/>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4384" behindDoc="0" locked="0" layoutInCell="1" allowOverlap="1">
                  <wp:simplePos x="0" y="0"/>
                  <wp:positionH relativeFrom="column">
                    <wp:posOffset>1141730</wp:posOffset>
                  </wp:positionH>
                  <wp:positionV relativeFrom="paragraph">
                    <wp:posOffset>121285</wp:posOffset>
                  </wp:positionV>
                  <wp:extent cx="372110" cy="351155"/>
                  <wp:effectExtent l="0" t="0" r="889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72110" cy="351155"/>
                          </a:xfrm>
                          <a:prstGeom prst="rect">
                            <a:avLst/>
                          </a:prstGeom>
                          <a:noFill/>
                        </pic:spPr>
                      </pic:pic>
                    </a:graphicData>
                  </a:graphic>
                </wp:anchor>
              </w:drawing>
            </w:r>
            <w:r>
              <w:rPr>
                <w:rFonts w:hint="eastAsia" w:ascii="仿宋" w:hAnsi="仿宋" w:eastAsia="仿宋" w:cs="仿宋"/>
                <w:sz w:val="28"/>
                <w:szCs w:val="28"/>
              </w:rPr>
              <w:t>严禁携带</w:t>
            </w:r>
          </w:p>
        </w:tc>
      </w:tr>
    </w:tbl>
    <w:p>
      <w:pPr>
        <w:spacing w:line="200" w:lineRule="exact"/>
        <w:rPr>
          <w:rFonts w:hint="eastAsia" w:ascii="仿宋" w:hAnsi="仿宋" w:eastAsia="仿宋" w:cs="仿宋"/>
          <w:sz w:val="28"/>
          <w:szCs w:val="28"/>
        </w:rPr>
      </w:pPr>
    </w:p>
    <w:p>
      <w:pPr>
        <w:rPr>
          <w:rFonts w:hint="eastAsia" w:ascii="仿宋" w:hAnsi="仿宋" w:eastAsia="仿宋" w:cs="仿宋"/>
          <w:color w:val="000000"/>
          <w:kern w:val="0"/>
          <w:sz w:val="28"/>
          <w:szCs w:val="28"/>
          <w:lang w:bidi="ar"/>
        </w:rPr>
      </w:pPr>
      <w:bookmarkStart w:id="6" w:name="_Toc47743551"/>
      <w:r>
        <w:rPr>
          <w:rFonts w:hint="eastAsia" w:ascii="仿宋" w:hAnsi="仿宋" w:eastAsia="仿宋" w:cs="仿宋"/>
          <w:color w:val="000000"/>
          <w:kern w:val="0"/>
          <w:sz w:val="28"/>
          <w:szCs w:val="28"/>
          <w:lang w:bidi="ar"/>
        </w:rPr>
        <w:t>3.医疗设备和措施</w:t>
      </w:r>
      <w:bookmarkEnd w:id="6"/>
    </w:p>
    <w:p>
      <w:pPr>
        <w:spacing w:line="480" w:lineRule="exact"/>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赛场必须配备医护人员和必须的药品。</w:t>
      </w:r>
    </w:p>
    <w:p>
      <w:pPr>
        <w:widowControl/>
        <w:jc w:val="center"/>
        <w:rPr>
          <w:rFonts w:hint="eastAsia" w:ascii="仿宋" w:hAnsi="仿宋" w:eastAsia="仿宋" w:cs="仿宋"/>
          <w:kern w:val="0"/>
          <w:sz w:val="28"/>
          <w:szCs w:val="28"/>
          <w:lang w:bidi="ar"/>
        </w:rPr>
      </w:pPr>
      <w:bookmarkStart w:id="7" w:name="_GoBack"/>
      <w:bookmarkEnd w:id="7"/>
    </w:p>
    <w:sectPr>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10</w:t>
    </w:r>
    <w:r>
      <w:rPr>
        <w:lang w:val="zh-CN"/>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Q5YzU5YjY0NDM5NWVlMTNhMjVlZWU2NzJhOGI1M2EifQ=="/>
  </w:docVars>
  <w:rsids>
    <w:rsidRoot w:val="009C1F9F"/>
    <w:rsid w:val="000020A9"/>
    <w:rsid w:val="00012C9F"/>
    <w:rsid w:val="00032A03"/>
    <w:rsid w:val="000402EE"/>
    <w:rsid w:val="000475E1"/>
    <w:rsid w:val="00057DF0"/>
    <w:rsid w:val="00081F11"/>
    <w:rsid w:val="00085EF0"/>
    <w:rsid w:val="00091E01"/>
    <w:rsid w:val="000B6330"/>
    <w:rsid w:val="000C7EA7"/>
    <w:rsid w:val="000D1D2B"/>
    <w:rsid w:val="000E5FC7"/>
    <w:rsid w:val="000F1946"/>
    <w:rsid w:val="000F2B1B"/>
    <w:rsid w:val="000F5C81"/>
    <w:rsid w:val="00100B1B"/>
    <w:rsid w:val="0012520E"/>
    <w:rsid w:val="001371E9"/>
    <w:rsid w:val="0014298D"/>
    <w:rsid w:val="001506F3"/>
    <w:rsid w:val="00152FE3"/>
    <w:rsid w:val="001540B4"/>
    <w:rsid w:val="0016599E"/>
    <w:rsid w:val="00194B16"/>
    <w:rsid w:val="001A406C"/>
    <w:rsid w:val="001A54A5"/>
    <w:rsid w:val="001B447B"/>
    <w:rsid w:val="001D58E5"/>
    <w:rsid w:val="001D7C2F"/>
    <w:rsid w:val="001F6FD9"/>
    <w:rsid w:val="00211C0F"/>
    <w:rsid w:val="00212E9F"/>
    <w:rsid w:val="00213870"/>
    <w:rsid w:val="00214130"/>
    <w:rsid w:val="002317BC"/>
    <w:rsid w:val="00241F6F"/>
    <w:rsid w:val="00245CA7"/>
    <w:rsid w:val="0024768A"/>
    <w:rsid w:val="00255B3E"/>
    <w:rsid w:val="00266228"/>
    <w:rsid w:val="002B2E72"/>
    <w:rsid w:val="002D1FEC"/>
    <w:rsid w:val="002D4A09"/>
    <w:rsid w:val="002D4C26"/>
    <w:rsid w:val="002D5C17"/>
    <w:rsid w:val="002F42CD"/>
    <w:rsid w:val="00304BD8"/>
    <w:rsid w:val="00312DE7"/>
    <w:rsid w:val="00313100"/>
    <w:rsid w:val="00332EC5"/>
    <w:rsid w:val="0033456F"/>
    <w:rsid w:val="00342ABA"/>
    <w:rsid w:val="003447C1"/>
    <w:rsid w:val="00344C81"/>
    <w:rsid w:val="00353B13"/>
    <w:rsid w:val="00362EF6"/>
    <w:rsid w:val="00366C1E"/>
    <w:rsid w:val="00374B49"/>
    <w:rsid w:val="003772AA"/>
    <w:rsid w:val="00391C83"/>
    <w:rsid w:val="003A3705"/>
    <w:rsid w:val="003A3B98"/>
    <w:rsid w:val="003A61E5"/>
    <w:rsid w:val="003C6F70"/>
    <w:rsid w:val="003D20E2"/>
    <w:rsid w:val="003E73F6"/>
    <w:rsid w:val="003F1B9A"/>
    <w:rsid w:val="003F26FA"/>
    <w:rsid w:val="003F478B"/>
    <w:rsid w:val="003F4849"/>
    <w:rsid w:val="00424595"/>
    <w:rsid w:val="00425D74"/>
    <w:rsid w:val="00446350"/>
    <w:rsid w:val="00452193"/>
    <w:rsid w:val="00462F36"/>
    <w:rsid w:val="00486413"/>
    <w:rsid w:val="00487B1E"/>
    <w:rsid w:val="004A5454"/>
    <w:rsid w:val="004A6009"/>
    <w:rsid w:val="004C2A8C"/>
    <w:rsid w:val="004C3A7F"/>
    <w:rsid w:val="004D0C2F"/>
    <w:rsid w:val="004E7178"/>
    <w:rsid w:val="004F2CE7"/>
    <w:rsid w:val="004F62E3"/>
    <w:rsid w:val="0050002B"/>
    <w:rsid w:val="00502A6E"/>
    <w:rsid w:val="00516E75"/>
    <w:rsid w:val="0052546E"/>
    <w:rsid w:val="005321C2"/>
    <w:rsid w:val="0053544A"/>
    <w:rsid w:val="00543C8D"/>
    <w:rsid w:val="00544C56"/>
    <w:rsid w:val="00553BAA"/>
    <w:rsid w:val="005605F9"/>
    <w:rsid w:val="0057242B"/>
    <w:rsid w:val="0058505B"/>
    <w:rsid w:val="005963D4"/>
    <w:rsid w:val="005B083A"/>
    <w:rsid w:val="005B680B"/>
    <w:rsid w:val="005C4A48"/>
    <w:rsid w:val="005C7718"/>
    <w:rsid w:val="005D2DBD"/>
    <w:rsid w:val="005F292F"/>
    <w:rsid w:val="006044A0"/>
    <w:rsid w:val="006059C7"/>
    <w:rsid w:val="00612D6D"/>
    <w:rsid w:val="00614704"/>
    <w:rsid w:val="006225E6"/>
    <w:rsid w:val="006317F5"/>
    <w:rsid w:val="0063380A"/>
    <w:rsid w:val="006404B0"/>
    <w:rsid w:val="00642041"/>
    <w:rsid w:val="00653B0B"/>
    <w:rsid w:val="00657A53"/>
    <w:rsid w:val="006619A4"/>
    <w:rsid w:val="006653EA"/>
    <w:rsid w:val="00667ADF"/>
    <w:rsid w:val="00671054"/>
    <w:rsid w:val="00680196"/>
    <w:rsid w:val="00691EF4"/>
    <w:rsid w:val="006A0F80"/>
    <w:rsid w:val="006A15CB"/>
    <w:rsid w:val="006A589E"/>
    <w:rsid w:val="006A6233"/>
    <w:rsid w:val="006B3A59"/>
    <w:rsid w:val="006B60FB"/>
    <w:rsid w:val="006D7754"/>
    <w:rsid w:val="006D7DA6"/>
    <w:rsid w:val="006F29A1"/>
    <w:rsid w:val="00700B65"/>
    <w:rsid w:val="007060C8"/>
    <w:rsid w:val="007165C9"/>
    <w:rsid w:val="007227C7"/>
    <w:rsid w:val="007235A6"/>
    <w:rsid w:val="00723CAE"/>
    <w:rsid w:val="00743978"/>
    <w:rsid w:val="00760A57"/>
    <w:rsid w:val="0077783F"/>
    <w:rsid w:val="00780CD1"/>
    <w:rsid w:val="00784131"/>
    <w:rsid w:val="00784C80"/>
    <w:rsid w:val="00790F72"/>
    <w:rsid w:val="00792EF6"/>
    <w:rsid w:val="007A138A"/>
    <w:rsid w:val="007A4604"/>
    <w:rsid w:val="007A74ED"/>
    <w:rsid w:val="007B28DD"/>
    <w:rsid w:val="007B3704"/>
    <w:rsid w:val="007C0457"/>
    <w:rsid w:val="007C1D33"/>
    <w:rsid w:val="007C5153"/>
    <w:rsid w:val="007D23E8"/>
    <w:rsid w:val="007E2016"/>
    <w:rsid w:val="007F2A9D"/>
    <w:rsid w:val="00805F01"/>
    <w:rsid w:val="00824002"/>
    <w:rsid w:val="0083267D"/>
    <w:rsid w:val="00833A41"/>
    <w:rsid w:val="00867109"/>
    <w:rsid w:val="00877E13"/>
    <w:rsid w:val="00886E97"/>
    <w:rsid w:val="00891144"/>
    <w:rsid w:val="008978A1"/>
    <w:rsid w:val="008A1953"/>
    <w:rsid w:val="008A2E76"/>
    <w:rsid w:val="008D13BA"/>
    <w:rsid w:val="008D7564"/>
    <w:rsid w:val="008E35EE"/>
    <w:rsid w:val="008E4277"/>
    <w:rsid w:val="008F2CBF"/>
    <w:rsid w:val="008F5B2A"/>
    <w:rsid w:val="00900E68"/>
    <w:rsid w:val="0090224B"/>
    <w:rsid w:val="00906701"/>
    <w:rsid w:val="0091403C"/>
    <w:rsid w:val="0093101D"/>
    <w:rsid w:val="0093156A"/>
    <w:rsid w:val="00932319"/>
    <w:rsid w:val="009413DA"/>
    <w:rsid w:val="00941888"/>
    <w:rsid w:val="00957BA8"/>
    <w:rsid w:val="00975F6C"/>
    <w:rsid w:val="0098516F"/>
    <w:rsid w:val="009C1F9F"/>
    <w:rsid w:val="009C7E3C"/>
    <w:rsid w:val="009F7250"/>
    <w:rsid w:val="00A0456F"/>
    <w:rsid w:val="00A17636"/>
    <w:rsid w:val="00A34BCF"/>
    <w:rsid w:val="00A465E9"/>
    <w:rsid w:val="00A466E1"/>
    <w:rsid w:val="00A7621F"/>
    <w:rsid w:val="00A9104D"/>
    <w:rsid w:val="00AA01E1"/>
    <w:rsid w:val="00AA3120"/>
    <w:rsid w:val="00AC66ED"/>
    <w:rsid w:val="00AD2BCC"/>
    <w:rsid w:val="00AD4AB2"/>
    <w:rsid w:val="00AD54D4"/>
    <w:rsid w:val="00AE03C6"/>
    <w:rsid w:val="00AE1A96"/>
    <w:rsid w:val="00AE361A"/>
    <w:rsid w:val="00AF03B6"/>
    <w:rsid w:val="00AF3AF4"/>
    <w:rsid w:val="00AF5E6A"/>
    <w:rsid w:val="00AF6ECA"/>
    <w:rsid w:val="00B0747A"/>
    <w:rsid w:val="00B10A10"/>
    <w:rsid w:val="00B11726"/>
    <w:rsid w:val="00B17872"/>
    <w:rsid w:val="00B20A83"/>
    <w:rsid w:val="00B21E9A"/>
    <w:rsid w:val="00B336AB"/>
    <w:rsid w:val="00B43DE1"/>
    <w:rsid w:val="00B54A03"/>
    <w:rsid w:val="00B6068C"/>
    <w:rsid w:val="00B6113E"/>
    <w:rsid w:val="00B65402"/>
    <w:rsid w:val="00B65979"/>
    <w:rsid w:val="00B74EB6"/>
    <w:rsid w:val="00B7550F"/>
    <w:rsid w:val="00B83A87"/>
    <w:rsid w:val="00B93652"/>
    <w:rsid w:val="00B96BB3"/>
    <w:rsid w:val="00BA2CD9"/>
    <w:rsid w:val="00BA3740"/>
    <w:rsid w:val="00BA3B46"/>
    <w:rsid w:val="00BC50B7"/>
    <w:rsid w:val="00BC7A6E"/>
    <w:rsid w:val="00BD6933"/>
    <w:rsid w:val="00BD72D2"/>
    <w:rsid w:val="00BE1868"/>
    <w:rsid w:val="00C03B34"/>
    <w:rsid w:val="00C11AD4"/>
    <w:rsid w:val="00C1750A"/>
    <w:rsid w:val="00C2131D"/>
    <w:rsid w:val="00C233AE"/>
    <w:rsid w:val="00C36C0A"/>
    <w:rsid w:val="00C376D6"/>
    <w:rsid w:val="00C54E99"/>
    <w:rsid w:val="00C55DD5"/>
    <w:rsid w:val="00C636AA"/>
    <w:rsid w:val="00C63781"/>
    <w:rsid w:val="00C66634"/>
    <w:rsid w:val="00C67168"/>
    <w:rsid w:val="00C7751F"/>
    <w:rsid w:val="00C82C21"/>
    <w:rsid w:val="00C83C3E"/>
    <w:rsid w:val="00CA1C3B"/>
    <w:rsid w:val="00CA6EC6"/>
    <w:rsid w:val="00CB308B"/>
    <w:rsid w:val="00CB7ABD"/>
    <w:rsid w:val="00CD540E"/>
    <w:rsid w:val="00CE581A"/>
    <w:rsid w:val="00CE69A4"/>
    <w:rsid w:val="00D2237A"/>
    <w:rsid w:val="00D33A56"/>
    <w:rsid w:val="00D37104"/>
    <w:rsid w:val="00D51D2B"/>
    <w:rsid w:val="00D546A7"/>
    <w:rsid w:val="00D73B3D"/>
    <w:rsid w:val="00D836EB"/>
    <w:rsid w:val="00DC09F8"/>
    <w:rsid w:val="00DC6A2D"/>
    <w:rsid w:val="00DE1004"/>
    <w:rsid w:val="00DE14B0"/>
    <w:rsid w:val="00DF1CAD"/>
    <w:rsid w:val="00DF55DE"/>
    <w:rsid w:val="00E135FF"/>
    <w:rsid w:val="00E13789"/>
    <w:rsid w:val="00E145DB"/>
    <w:rsid w:val="00E15E52"/>
    <w:rsid w:val="00E203B7"/>
    <w:rsid w:val="00E2663B"/>
    <w:rsid w:val="00E310AA"/>
    <w:rsid w:val="00E345FE"/>
    <w:rsid w:val="00E51717"/>
    <w:rsid w:val="00E53323"/>
    <w:rsid w:val="00E5645A"/>
    <w:rsid w:val="00E636B6"/>
    <w:rsid w:val="00E64474"/>
    <w:rsid w:val="00E67210"/>
    <w:rsid w:val="00E74F3C"/>
    <w:rsid w:val="00E81CF1"/>
    <w:rsid w:val="00E839FC"/>
    <w:rsid w:val="00E87962"/>
    <w:rsid w:val="00E9707D"/>
    <w:rsid w:val="00EA7D67"/>
    <w:rsid w:val="00EB2797"/>
    <w:rsid w:val="00EB501D"/>
    <w:rsid w:val="00EB5338"/>
    <w:rsid w:val="00EB675A"/>
    <w:rsid w:val="00EC7745"/>
    <w:rsid w:val="00ED794A"/>
    <w:rsid w:val="00EE0B09"/>
    <w:rsid w:val="00EE1F5E"/>
    <w:rsid w:val="00EF1290"/>
    <w:rsid w:val="00F00EF3"/>
    <w:rsid w:val="00F125CE"/>
    <w:rsid w:val="00F20C5A"/>
    <w:rsid w:val="00F32710"/>
    <w:rsid w:val="00F369CC"/>
    <w:rsid w:val="00F41408"/>
    <w:rsid w:val="00F43FEC"/>
    <w:rsid w:val="00F44BA9"/>
    <w:rsid w:val="00F45D2E"/>
    <w:rsid w:val="00F863B2"/>
    <w:rsid w:val="00F91321"/>
    <w:rsid w:val="00FB0572"/>
    <w:rsid w:val="00FB161E"/>
    <w:rsid w:val="00FB59A4"/>
    <w:rsid w:val="00FC0DB5"/>
    <w:rsid w:val="00FC1566"/>
    <w:rsid w:val="00FC3C41"/>
    <w:rsid w:val="00FC6240"/>
    <w:rsid w:val="00FD03FE"/>
    <w:rsid w:val="00FD2335"/>
    <w:rsid w:val="00FD3C1A"/>
    <w:rsid w:val="00FD6996"/>
    <w:rsid w:val="00FF506D"/>
    <w:rsid w:val="025329A3"/>
    <w:rsid w:val="11D206AD"/>
    <w:rsid w:val="12136B2E"/>
    <w:rsid w:val="13ED5F94"/>
    <w:rsid w:val="1536173B"/>
    <w:rsid w:val="15845E50"/>
    <w:rsid w:val="19770D3D"/>
    <w:rsid w:val="1FA42C1D"/>
    <w:rsid w:val="24F83F10"/>
    <w:rsid w:val="251B198B"/>
    <w:rsid w:val="25375D77"/>
    <w:rsid w:val="2B2529AF"/>
    <w:rsid w:val="2D2D69C1"/>
    <w:rsid w:val="2FF11808"/>
    <w:rsid w:val="305D322D"/>
    <w:rsid w:val="32BB2B22"/>
    <w:rsid w:val="32C41F26"/>
    <w:rsid w:val="3417391E"/>
    <w:rsid w:val="354F1488"/>
    <w:rsid w:val="3D1369FE"/>
    <w:rsid w:val="3ECB3B4C"/>
    <w:rsid w:val="41C80D56"/>
    <w:rsid w:val="470A497B"/>
    <w:rsid w:val="475E0655"/>
    <w:rsid w:val="49582117"/>
    <w:rsid w:val="4B0D4A70"/>
    <w:rsid w:val="4E577263"/>
    <w:rsid w:val="4F445637"/>
    <w:rsid w:val="5B5C1D37"/>
    <w:rsid w:val="5F1E1117"/>
    <w:rsid w:val="6060725E"/>
    <w:rsid w:val="63277927"/>
    <w:rsid w:val="67C854AC"/>
    <w:rsid w:val="6ADC6FEE"/>
    <w:rsid w:val="6C3F56DA"/>
    <w:rsid w:val="6E9B48A2"/>
    <w:rsid w:val="760A0E00"/>
    <w:rsid w:val="77605D1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0" w:semiHidden="0" w:name="toc 1" w:locked="1"/>
    <w:lsdException w:uiPriority="0" w:semiHidden="0" w:name="toc 2" w:locked="1"/>
    <w:lsdException w:uiPriority="0" w:semiHidden="0" w:name="toc 3" w:locked="1"/>
    <w:lsdException w:uiPriority="0" w:semiHidden="0" w:name="toc 4" w:locked="1"/>
    <w:lsdException w:uiPriority="0" w:semiHidden="0" w:name="toc 5" w:locked="1"/>
    <w:lsdException w:uiPriority="0" w:semiHidden="0" w:name="toc 6" w:locked="1"/>
    <w:lsdException w:uiPriority="0" w:semiHidden="0" w:name="toc 7" w:locked="1"/>
    <w:lsdException w:uiPriority="0" w:semiHidden="0" w:name="toc 8" w:locked="1"/>
    <w:lsdException w:uiPriority="0" w:semiHidden="0" w:name="toc 9" w:locked="1"/>
    <w:lsdException w:uiPriority="99"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semiHidden="0"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link w:val="26"/>
    <w:qFormat/>
    <w:locked/>
    <w:uiPriority w:val="0"/>
    <w:pPr>
      <w:keepNext/>
      <w:keepLines/>
      <w:spacing w:before="340" w:beforeLines="0" w:beforeAutospacing="0" w:after="330" w:afterLines="0" w:afterAutospacing="0" w:line="576" w:lineRule="auto"/>
      <w:outlineLvl w:val="0"/>
    </w:pPr>
    <w:rPr>
      <w:b/>
      <w:kern w:val="44"/>
      <w:sz w:val="44"/>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6"/>
    <w:qFormat/>
    <w:uiPriority w:val="99"/>
    <w:pPr>
      <w:jc w:val="left"/>
    </w:pPr>
    <w:rPr>
      <w:kern w:val="0"/>
      <w:sz w:val="20"/>
      <w:szCs w:val="20"/>
    </w:rPr>
  </w:style>
  <w:style w:type="paragraph" w:styleId="4">
    <w:name w:val="Balloon Text"/>
    <w:basedOn w:val="1"/>
    <w:link w:val="18"/>
    <w:qFormat/>
    <w:uiPriority w:val="99"/>
    <w:rPr>
      <w:kern w:val="0"/>
      <w:sz w:val="18"/>
      <w:szCs w:val="20"/>
    </w:rPr>
  </w:style>
  <w:style w:type="paragraph" w:styleId="5">
    <w:name w:val="footer"/>
    <w:basedOn w:val="1"/>
    <w:link w:val="19"/>
    <w:qFormat/>
    <w:uiPriority w:val="99"/>
    <w:pPr>
      <w:tabs>
        <w:tab w:val="center" w:pos="4153"/>
        <w:tab w:val="right" w:pos="8306"/>
      </w:tabs>
      <w:snapToGrid w:val="0"/>
      <w:jc w:val="left"/>
    </w:pPr>
    <w:rPr>
      <w:kern w:val="0"/>
      <w:sz w:val="18"/>
      <w:szCs w:val="20"/>
    </w:rPr>
  </w:style>
  <w:style w:type="paragraph" w:styleId="6">
    <w:name w:val="header"/>
    <w:basedOn w:val="1"/>
    <w:link w:val="2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kern w:val="0"/>
      <w:sz w:val="18"/>
      <w:szCs w:val="20"/>
    </w:rPr>
  </w:style>
  <w:style w:type="paragraph" w:styleId="7">
    <w:name w:val="footnote text"/>
    <w:basedOn w:val="1"/>
    <w:link w:val="21"/>
    <w:qFormat/>
    <w:uiPriority w:val="99"/>
    <w:pPr>
      <w:snapToGrid w:val="0"/>
      <w:jc w:val="left"/>
    </w:pPr>
    <w:rPr>
      <w:kern w:val="0"/>
      <w:sz w:val="18"/>
      <w:szCs w:val="20"/>
    </w:rPr>
  </w:style>
  <w:style w:type="paragraph" w:styleId="8">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17"/>
    <w:qFormat/>
    <w:uiPriority w:val="99"/>
    <w:rPr>
      <w:b/>
    </w:rPr>
  </w:style>
  <w:style w:type="table" w:styleId="11">
    <w:name w:val="Table Grid"/>
    <w:basedOn w:val="10"/>
    <w:qFormat/>
    <w:locked/>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unhideWhenUsed/>
    <w:qFormat/>
    <w:uiPriority w:val="99"/>
    <w:rPr>
      <w:color w:val="0000FF"/>
      <w:u w:val="single"/>
    </w:rPr>
  </w:style>
  <w:style w:type="character" w:styleId="14">
    <w:name w:val="annotation reference"/>
    <w:qFormat/>
    <w:uiPriority w:val="99"/>
    <w:rPr>
      <w:rFonts w:cs="Times New Roman"/>
      <w:sz w:val="21"/>
    </w:rPr>
  </w:style>
  <w:style w:type="character" w:styleId="15">
    <w:name w:val="footnote reference"/>
    <w:qFormat/>
    <w:uiPriority w:val="99"/>
    <w:rPr>
      <w:rFonts w:cs="Times New Roman"/>
      <w:vertAlign w:val="superscript"/>
    </w:rPr>
  </w:style>
  <w:style w:type="character" w:customStyle="1" w:styleId="16">
    <w:name w:val="批注文字 字符"/>
    <w:basedOn w:val="12"/>
    <w:link w:val="3"/>
    <w:qFormat/>
    <w:locked/>
    <w:uiPriority w:val="99"/>
  </w:style>
  <w:style w:type="character" w:customStyle="1" w:styleId="17">
    <w:name w:val="批注主题 字符"/>
    <w:link w:val="9"/>
    <w:qFormat/>
    <w:locked/>
    <w:uiPriority w:val="99"/>
    <w:rPr>
      <w:b/>
    </w:rPr>
  </w:style>
  <w:style w:type="character" w:customStyle="1" w:styleId="18">
    <w:name w:val="批注框文本 字符"/>
    <w:link w:val="4"/>
    <w:qFormat/>
    <w:locked/>
    <w:uiPriority w:val="99"/>
    <w:rPr>
      <w:sz w:val="18"/>
    </w:rPr>
  </w:style>
  <w:style w:type="character" w:customStyle="1" w:styleId="19">
    <w:name w:val="页脚 字符"/>
    <w:link w:val="5"/>
    <w:qFormat/>
    <w:locked/>
    <w:uiPriority w:val="99"/>
    <w:rPr>
      <w:sz w:val="18"/>
    </w:rPr>
  </w:style>
  <w:style w:type="character" w:customStyle="1" w:styleId="20">
    <w:name w:val="页眉 字符"/>
    <w:link w:val="6"/>
    <w:qFormat/>
    <w:locked/>
    <w:uiPriority w:val="99"/>
    <w:rPr>
      <w:sz w:val="18"/>
    </w:rPr>
  </w:style>
  <w:style w:type="character" w:customStyle="1" w:styleId="21">
    <w:name w:val="脚注文本 字符"/>
    <w:link w:val="7"/>
    <w:qFormat/>
    <w:locked/>
    <w:uiPriority w:val="99"/>
    <w:rPr>
      <w:kern w:val="0"/>
      <w:sz w:val="18"/>
    </w:rPr>
  </w:style>
  <w:style w:type="paragraph" w:customStyle="1" w:styleId="22">
    <w:name w:val="列出段落1"/>
    <w:basedOn w:val="1"/>
    <w:qFormat/>
    <w:uiPriority w:val="99"/>
    <w:pPr>
      <w:ind w:firstLine="420" w:firstLineChars="200"/>
    </w:pPr>
  </w:style>
  <w:style w:type="paragraph" w:styleId="23">
    <w:name w:val="List Paragraph"/>
    <w:basedOn w:val="1"/>
    <w:qFormat/>
    <w:uiPriority w:val="99"/>
    <w:pPr>
      <w:ind w:firstLine="420" w:firstLineChars="200"/>
    </w:pPr>
  </w:style>
  <w:style w:type="character" w:customStyle="1" w:styleId="24">
    <w:name w:val="5-内文 Char"/>
    <w:link w:val="25"/>
    <w:qFormat/>
    <w:locked/>
    <w:uiPriority w:val="0"/>
    <w:rPr>
      <w:rFonts w:ascii="仿宋_GB2312" w:eastAsia="仿宋_GB2312"/>
      <w:sz w:val="28"/>
    </w:rPr>
  </w:style>
  <w:style w:type="paragraph" w:customStyle="1" w:styleId="25">
    <w:name w:val="5-内文"/>
    <w:basedOn w:val="1"/>
    <w:link w:val="24"/>
    <w:qFormat/>
    <w:uiPriority w:val="0"/>
    <w:pPr>
      <w:spacing w:beforeLines="25" w:line="300" w:lineRule="auto"/>
      <w:ind w:firstLine="200" w:firstLineChars="200"/>
    </w:pPr>
    <w:rPr>
      <w:rFonts w:ascii="仿宋_GB2312" w:eastAsia="仿宋_GB2312"/>
      <w:kern w:val="0"/>
      <w:sz w:val="28"/>
      <w:szCs w:val="20"/>
    </w:rPr>
  </w:style>
  <w:style w:type="character" w:customStyle="1" w:styleId="26">
    <w:name w:val="标题 1 Char"/>
    <w:link w:val="2"/>
    <w:uiPriority w:val="0"/>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7E2A4-B297-4AB3-ADE4-2981A3A3FD8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3865</Words>
  <Characters>4070</Characters>
  <Lines>49</Lines>
  <Paragraphs>14</Paragraphs>
  <TotalTime>42</TotalTime>
  <ScaleCrop>false</ScaleCrop>
  <LinksUpToDate>false</LinksUpToDate>
  <CharactersWithSpaces>4122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2022-03-03T16:34:00Z</dcterms:created>
  <dc:creator>l</dc:creator>
  <cp:lastModifiedBy>柳博</cp:lastModifiedBy>
  <cp:lastPrinted>2018-03-11T08:51:00Z</cp:lastPrinted>
  <dcterms:modified xsi:type="dcterms:W3CDTF">2023-10-23T01:13:08Z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A4E5B31D5E4C4DC48E4542F67329BC66_13</vt:lpwstr>
  </property>
</Properties>
</file>