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0" w:line="360" w:lineRule="auto"/>
        <w:jc w:val="center"/>
        <w:rPr>
          <w:rFonts w:hint="eastAsia" w:ascii="黑体" w:hAnsi="黑体" w:eastAsia="黑体" w:cs="黑体"/>
          <w:b/>
          <w:bCs/>
          <w:color w:val="000000" w:themeColor="text1"/>
          <w:sz w:val="36"/>
          <w:szCs w:val="36"/>
        </w:rPr>
      </w:pPr>
      <w:bookmarkStart w:id="0" w:name="_Toc290199737"/>
      <w:bookmarkStart w:id="1" w:name="_Toc290199680"/>
      <w:r>
        <w:rPr>
          <w:rFonts w:hint="eastAsia" w:ascii="黑体" w:hAnsi="黑体" w:eastAsia="黑体" w:cs="黑体"/>
          <w:b/>
          <w:bCs/>
          <w:color w:val="000000" w:themeColor="text1"/>
          <w:sz w:val="36"/>
          <w:szCs w:val="36"/>
        </w:rPr>
        <w:fldChar w:fldCharType="begin"/>
      </w:r>
      <w:r>
        <w:rPr>
          <w:rFonts w:hint="eastAsia" w:ascii="黑体" w:hAnsi="黑体" w:eastAsia="黑体" w:cs="黑体"/>
          <w:b/>
          <w:bCs/>
          <w:color w:val="000000" w:themeColor="text1"/>
          <w:sz w:val="36"/>
          <w:szCs w:val="36"/>
        </w:rPr>
        <w:instrText xml:space="preserve">ADDIN CNKISM.UserStyle</w:instrText>
      </w:r>
      <w:r>
        <w:rPr>
          <w:rFonts w:hint="eastAsia" w:ascii="黑体" w:hAnsi="黑体" w:eastAsia="黑体" w:cs="黑体"/>
          <w:b/>
          <w:bCs/>
          <w:color w:val="000000" w:themeColor="text1"/>
          <w:sz w:val="36"/>
          <w:szCs w:val="36"/>
        </w:rPr>
        <w:fldChar w:fldCharType="end"/>
      </w:r>
      <w:r>
        <w:rPr>
          <w:rFonts w:hint="eastAsia" w:ascii="黑体" w:hAnsi="黑体" w:eastAsia="黑体" w:cs="黑体"/>
          <w:b/>
          <w:bCs/>
          <w:color w:val="000000" w:themeColor="text1"/>
          <w:sz w:val="36"/>
          <w:szCs w:val="36"/>
        </w:rPr>
        <w:t>202</w:t>
      </w:r>
      <w:r>
        <w:rPr>
          <w:rFonts w:hint="eastAsia" w:ascii="黑体" w:hAnsi="黑体" w:eastAsia="黑体" w:cs="黑体"/>
          <w:b/>
          <w:bCs/>
          <w:color w:val="000000" w:themeColor="text1"/>
          <w:sz w:val="36"/>
          <w:szCs w:val="36"/>
          <w:lang w:val="en-US" w:eastAsia="zh-CN"/>
        </w:rPr>
        <w:t>4</w:t>
      </w:r>
      <w:r>
        <w:rPr>
          <w:rFonts w:hint="eastAsia" w:ascii="黑体" w:hAnsi="黑体" w:eastAsia="黑体" w:cs="黑体"/>
          <w:b/>
          <w:bCs/>
          <w:color w:val="000000" w:themeColor="text1"/>
          <w:sz w:val="36"/>
          <w:szCs w:val="36"/>
        </w:rPr>
        <w:t>年兰州市职业院校技能大赛中职组</w:t>
      </w:r>
    </w:p>
    <w:p>
      <w:pPr>
        <w:adjustRightInd w:val="0"/>
        <w:snapToGrid w:val="0"/>
        <w:spacing w:line="360" w:lineRule="auto"/>
        <w:jc w:val="center"/>
        <w:rPr>
          <w:rFonts w:hint="eastAsia" w:ascii="黑体" w:hAnsi="黑体" w:eastAsia="黑体" w:cs="黑体"/>
          <w:b/>
          <w:bCs/>
          <w:color w:val="000000" w:themeColor="text1"/>
          <w:sz w:val="36"/>
          <w:szCs w:val="36"/>
        </w:rPr>
      </w:pPr>
      <w:r>
        <w:rPr>
          <w:rFonts w:hint="eastAsia" w:ascii="黑体" w:hAnsi="黑体" w:eastAsia="黑体" w:cs="黑体"/>
          <w:b/>
          <w:bCs/>
          <w:color w:val="000000" w:themeColor="text1"/>
          <w:sz w:val="36"/>
          <w:szCs w:val="36"/>
        </w:rPr>
        <w:t>“装配钳工”赛项规程</w:t>
      </w:r>
    </w:p>
    <w:p>
      <w:pPr>
        <w:adjustRightInd w:val="0"/>
        <w:snapToGrid w:val="0"/>
        <w:spacing w:line="360" w:lineRule="auto"/>
        <w:rPr>
          <w:rFonts w:hint="eastAsia" w:ascii="仿宋" w:hAnsi="仿宋" w:eastAsia="仿宋" w:cs="仿宋"/>
          <w:b/>
          <w:color w:val="000000" w:themeColor="text1"/>
          <w:kern w:val="0"/>
          <w:sz w:val="28"/>
          <w:szCs w:val="28"/>
        </w:rPr>
      </w:pPr>
      <w:r>
        <w:rPr>
          <w:rFonts w:hint="eastAsia" w:ascii="仿宋" w:hAnsi="仿宋" w:eastAsia="仿宋" w:cs="仿宋"/>
          <w:b/>
          <w:color w:val="000000" w:themeColor="text1"/>
          <w:sz w:val="28"/>
          <w:szCs w:val="28"/>
        </w:rPr>
        <w:t xml:space="preserve">   </w:t>
      </w:r>
      <w:r>
        <w:rPr>
          <w:rFonts w:hint="eastAsia" w:ascii="仿宋" w:hAnsi="仿宋" w:eastAsia="仿宋" w:cs="仿宋"/>
          <w:b/>
          <w:color w:val="000000" w:themeColor="text1"/>
          <w:kern w:val="0"/>
          <w:sz w:val="28"/>
          <w:szCs w:val="28"/>
        </w:rPr>
        <w:t>一、</w:t>
      </w:r>
      <w:r>
        <w:rPr>
          <w:rFonts w:hint="eastAsia" w:ascii="仿宋" w:hAnsi="仿宋" w:eastAsia="仿宋" w:cs="仿宋"/>
          <w:b/>
          <w:bCs/>
          <w:color w:val="000000" w:themeColor="text1"/>
          <w:kern w:val="0"/>
          <w:sz w:val="28"/>
          <w:szCs w:val="28"/>
        </w:rPr>
        <w:t>赛项名称</w:t>
      </w:r>
    </w:p>
    <w:bookmarkEnd w:id="0"/>
    <w:bookmarkEnd w:id="1"/>
    <w:p>
      <w:pPr>
        <w:spacing w:line="360" w:lineRule="auto"/>
        <w:ind w:firstLine="560" w:firstLineChars="200"/>
        <w:jc w:val="left"/>
        <w:rPr>
          <w:rFonts w:hint="eastAsia" w:ascii="仿宋" w:hAnsi="仿宋" w:eastAsia="仿宋" w:cs="仿宋"/>
          <w:bCs/>
          <w:color w:val="000000" w:themeColor="text1"/>
          <w:kern w:val="0"/>
          <w:sz w:val="28"/>
          <w:szCs w:val="28"/>
        </w:rPr>
      </w:pPr>
      <w:r>
        <w:rPr>
          <w:rFonts w:hint="eastAsia" w:ascii="仿宋" w:hAnsi="仿宋" w:eastAsia="仿宋" w:cs="仿宋"/>
          <w:bCs/>
          <w:color w:val="000000" w:themeColor="text1"/>
          <w:kern w:val="0"/>
          <w:sz w:val="28"/>
          <w:szCs w:val="28"/>
        </w:rPr>
        <w:t>赛项名称：装配钳工</w:t>
      </w:r>
      <w:bookmarkStart w:id="6" w:name="_GoBack"/>
      <w:bookmarkEnd w:id="6"/>
    </w:p>
    <w:p>
      <w:pPr>
        <w:spacing w:line="360" w:lineRule="auto"/>
        <w:ind w:firstLine="573"/>
        <w:rPr>
          <w:rFonts w:hint="eastAsia" w:ascii="仿宋" w:hAnsi="仿宋" w:eastAsia="仿宋" w:cs="仿宋"/>
          <w:bCs/>
          <w:color w:val="000000" w:themeColor="text1"/>
          <w:kern w:val="0"/>
          <w:sz w:val="28"/>
          <w:szCs w:val="28"/>
        </w:rPr>
      </w:pPr>
      <w:r>
        <w:rPr>
          <w:rFonts w:hint="eastAsia" w:ascii="仿宋" w:hAnsi="仿宋" w:eastAsia="仿宋" w:cs="仿宋"/>
          <w:bCs/>
          <w:color w:val="000000" w:themeColor="text1"/>
          <w:kern w:val="0"/>
          <w:sz w:val="28"/>
          <w:szCs w:val="28"/>
        </w:rPr>
        <w:t>赛项组别：中职学生组</w:t>
      </w:r>
    </w:p>
    <w:p>
      <w:pPr>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bCs/>
          <w:color w:val="000000" w:themeColor="text1"/>
          <w:kern w:val="0"/>
          <w:sz w:val="28"/>
          <w:szCs w:val="28"/>
        </w:rPr>
        <w:t>赛项归属产业：</w:t>
      </w:r>
      <w:r>
        <w:rPr>
          <w:rFonts w:hint="eastAsia" w:ascii="仿宋" w:hAnsi="仿宋" w:eastAsia="仿宋" w:cs="仿宋"/>
          <w:color w:val="000000" w:themeColor="text1"/>
          <w:sz w:val="28"/>
          <w:szCs w:val="28"/>
        </w:rPr>
        <w:t>加工制造类</w:t>
      </w:r>
    </w:p>
    <w:p>
      <w:pPr>
        <w:numPr>
          <w:ilvl w:val="0"/>
          <w:numId w:val="1"/>
        </w:numPr>
        <w:spacing w:line="360" w:lineRule="auto"/>
        <w:ind w:firstLine="564"/>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 xml:space="preserve">竞赛目的   </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通过竞赛，检验和展示中职院校钳工、装配钳工技术等相关专业的教学改革成果以及学生的通用技术与职业能力，考察学生基于工作过程的质量、效率、成本、安全环保意识、计划组织的综合职业能力，引领和促进中职院校与赛项相关专业的教学改革，深化校企合作，提升产教融合深度，服务产业发展，推进中职院校培养适应企业需求的高素质技术技能型人才的水平。</w:t>
      </w:r>
    </w:p>
    <w:p>
      <w:pPr>
        <w:spacing w:line="360" w:lineRule="auto"/>
        <w:ind w:firstLine="562" w:firstLineChars="200"/>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三、竞赛内容</w:t>
      </w:r>
    </w:p>
    <w:p>
      <w:pPr>
        <w:pStyle w:val="26"/>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（一）竞赛内容</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装配钳工项目竞赛以操作技能竞赛为主，成绩实操占比80%，理论占比15%，职业素养占比5%；通过技能大赛, 展示参赛选手的基础知识储备情况，机械装调过程中的识图能力，以及机械装调的基本技能。考察选手工作效率、质量与成本控制、安全意识等职业素养，提升职业院校专业教师的指导水平，以赛促教，为装配钳工在企业中的应用提供人才保障。装配钳工项目竞赛考查参赛选手对钳工基本技能的运用；检阅选手装配过程中的机械识图、零件图绘制；常用工具、精密量具的使用；装配工艺编写；机械传动机构的装配与调整；轴承与轴组的装配；机械精度检测；机械设备的调试、运行、试车等装配钳工类专业的核心技能与核心知识。</w:t>
      </w:r>
    </w:p>
    <w:p>
      <w:pPr>
        <w:pStyle w:val="26"/>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（二）竞赛时间</w:t>
      </w:r>
    </w:p>
    <w:p>
      <w:pPr>
        <w:pStyle w:val="26"/>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实践：180分钟</w:t>
      </w:r>
    </w:p>
    <w:p>
      <w:pPr>
        <w:pStyle w:val="26"/>
        <w:spacing w:line="360" w:lineRule="auto"/>
        <w:ind w:firstLine="56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理论：</w:t>
      </w:r>
      <w:r>
        <w:rPr>
          <w:rFonts w:hint="eastAsia" w:ascii="仿宋" w:hAnsi="仿宋" w:eastAsia="仿宋" w:cs="仿宋"/>
          <w:color w:val="000000" w:themeColor="text1"/>
          <w:sz w:val="28"/>
          <w:szCs w:val="28"/>
          <w:lang w:val="en-US" w:eastAsia="zh-CN"/>
        </w:rPr>
        <w:t>30</w:t>
      </w:r>
      <w:r>
        <w:rPr>
          <w:rFonts w:hint="eastAsia" w:ascii="仿宋" w:hAnsi="仿宋" w:eastAsia="仿宋" w:cs="仿宋"/>
          <w:color w:val="000000" w:themeColor="text1"/>
          <w:sz w:val="28"/>
          <w:szCs w:val="28"/>
        </w:rPr>
        <w:t>分钟</w:t>
      </w:r>
    </w:p>
    <w:p>
      <w:pPr>
        <w:spacing w:line="360" w:lineRule="auto"/>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 xml:space="preserve">     四、竞赛方式</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（一）本赛项为个人赛，以院校为单位组队参赛，不得跨校组队。其中，领队1人（可由指导教师兼任），参赛选手1人，指导教师1人。</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（二）组织机构：在全市中等职业院校技能大赛组委会与执委会的指导下，在赛区组委会与执委会的领导下，由兰州市教育局牵头成立202</w:t>
      </w:r>
      <w:r>
        <w:rPr>
          <w:rFonts w:hint="eastAsia" w:ascii="仿宋" w:hAnsi="仿宋" w:eastAsia="仿宋" w:cs="仿宋"/>
          <w:color w:val="000000" w:themeColor="text1"/>
          <w:kern w:val="0"/>
          <w:sz w:val="28"/>
          <w:szCs w:val="28"/>
          <w:lang w:val="en-US" w:eastAsia="zh-CN"/>
        </w:rPr>
        <w:t>4</w:t>
      </w:r>
      <w:r>
        <w:rPr>
          <w:rFonts w:hint="eastAsia" w:ascii="仿宋" w:hAnsi="仿宋" w:eastAsia="仿宋" w:cs="仿宋"/>
          <w:color w:val="000000" w:themeColor="text1"/>
          <w:kern w:val="0"/>
          <w:sz w:val="28"/>
          <w:szCs w:val="28"/>
        </w:rPr>
        <w:t>年兰州市中等职业院校装配钳工技能大赛执委会，下设本赛项专家组、裁判组、仲裁组等工作机构。</w:t>
      </w:r>
    </w:p>
    <w:p>
      <w:pPr>
        <w:adjustRightInd w:val="0"/>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（三）竞赛如需采取多场次进行，由赛项执委会按照竞赛日程表组织各领队参加公开抽签，确定各队参赛场次。参赛选手按照抽签确定的参赛时段分批次进入比赛场地参赛。</w:t>
      </w:r>
      <w:r>
        <w:rPr>
          <w:rFonts w:hint="eastAsia" w:ascii="仿宋" w:hAnsi="仿宋" w:eastAsia="仿宋" w:cs="仿宋"/>
          <w:color w:val="000000" w:themeColor="text1"/>
          <w:sz w:val="28"/>
          <w:szCs w:val="28"/>
        </w:rPr>
        <w:t>同一参赛队多名选手应安排在同一场次。东道主选手安排在首场比赛。</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（四）赛场的赛位统一编制赛位号，参赛选手比赛前30分钟到赛项指定地点接受检录，抽签决定赛位号。赛位号由参赛选手抽取，步聚如下：</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1.抽签由检录裁判长和赛场工作人员主持，监督员现场监督；</w:t>
      </w:r>
    </w:p>
    <w:p>
      <w:pPr>
        <w:snapToGrid w:val="0"/>
        <w:spacing w:line="360" w:lineRule="auto"/>
        <w:ind w:firstLine="560" w:firstLineChars="200"/>
        <w:rPr>
          <w:rFonts w:hint="eastAsia" w:ascii="仿宋" w:hAnsi="仿宋" w:eastAsia="仿宋" w:cs="仿宋"/>
          <w:bCs/>
          <w:color w:val="000000" w:themeColor="text1"/>
          <w:kern w:val="0"/>
          <w:sz w:val="28"/>
          <w:szCs w:val="28"/>
        </w:rPr>
      </w:pPr>
      <w:r>
        <w:rPr>
          <w:rFonts w:hint="eastAsia" w:ascii="仿宋" w:hAnsi="仿宋" w:eastAsia="仿宋" w:cs="仿宋"/>
          <w:color w:val="000000" w:themeColor="text1"/>
          <w:kern w:val="0"/>
          <w:sz w:val="28"/>
          <w:szCs w:val="28"/>
        </w:rPr>
        <w:t>2.参赛选手随机抽取赛位号后，并在赛位记录单上签名确认。</w:t>
      </w:r>
      <w:r>
        <w:rPr>
          <w:rFonts w:hint="eastAsia" w:ascii="仿宋" w:hAnsi="仿宋" w:eastAsia="仿宋" w:cs="仿宋"/>
          <w:bCs/>
          <w:color w:val="000000" w:themeColor="text1"/>
          <w:kern w:val="0"/>
          <w:sz w:val="28"/>
          <w:szCs w:val="28"/>
        </w:rPr>
        <w:t xml:space="preserve"> </w:t>
      </w:r>
    </w:p>
    <w:p>
      <w:pPr>
        <w:spacing w:line="360" w:lineRule="auto"/>
        <w:ind w:firstLine="689" w:firstLineChars="245"/>
        <w:rPr>
          <w:rFonts w:hint="eastAsia" w:ascii="仿宋" w:hAnsi="仿宋" w:eastAsia="仿宋" w:cs="仿宋"/>
          <w:b/>
          <w:color w:val="000000" w:themeColor="text1"/>
          <w:sz w:val="28"/>
          <w:szCs w:val="28"/>
          <w:lang w:eastAsia="zh-CN"/>
        </w:rPr>
      </w:pPr>
      <w:r>
        <w:rPr>
          <w:rFonts w:hint="eastAsia" w:ascii="仿宋" w:hAnsi="仿宋" w:eastAsia="仿宋" w:cs="仿宋"/>
          <w:b/>
          <w:color w:val="000000" w:themeColor="text1"/>
          <w:sz w:val="28"/>
          <w:szCs w:val="28"/>
        </w:rPr>
        <w:t>五、竞赛</w:t>
      </w:r>
      <w:r>
        <w:rPr>
          <w:rFonts w:hint="eastAsia" w:ascii="仿宋" w:hAnsi="仿宋" w:eastAsia="仿宋" w:cs="仿宋"/>
          <w:b/>
          <w:color w:val="000000" w:themeColor="text1"/>
          <w:sz w:val="28"/>
          <w:szCs w:val="28"/>
          <w:lang w:val="en-US" w:eastAsia="zh-CN"/>
        </w:rPr>
        <w:t>环境</w:t>
      </w:r>
    </w:p>
    <w:p>
      <w:pPr>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1．竞赛场地</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（1）竞赛地点：</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（2）考场面积：每位选手一般不少于4m</w:t>
      </w:r>
      <w:r>
        <w:rPr>
          <w:rFonts w:hint="eastAsia" w:ascii="仿宋" w:hAnsi="仿宋" w:eastAsia="仿宋" w:cs="仿宋"/>
          <w:color w:val="000000" w:themeColor="text1"/>
          <w:sz w:val="28"/>
          <w:szCs w:val="28"/>
          <w:vertAlign w:val="superscript"/>
        </w:rPr>
        <w:t>2</w:t>
      </w:r>
      <w:r>
        <w:rPr>
          <w:rFonts w:hint="eastAsia" w:ascii="仿宋" w:hAnsi="仿宋" w:eastAsia="仿宋" w:cs="仿宋"/>
          <w:color w:val="000000" w:themeColor="text1"/>
          <w:sz w:val="28"/>
          <w:szCs w:val="28"/>
        </w:rPr>
        <w:t>；每个操作工位不少于2m</w:t>
      </w:r>
      <w:r>
        <w:rPr>
          <w:rFonts w:hint="eastAsia" w:ascii="仿宋" w:hAnsi="仿宋" w:eastAsia="仿宋" w:cs="仿宋"/>
          <w:color w:val="000000" w:themeColor="text1"/>
          <w:sz w:val="28"/>
          <w:szCs w:val="28"/>
          <w:vertAlign w:val="superscript"/>
        </w:rPr>
        <w:t>2</w:t>
      </w:r>
      <w:r>
        <w:rPr>
          <w:rFonts w:hint="eastAsia" w:ascii="仿宋" w:hAnsi="仿宋" w:eastAsia="仿宋" w:cs="仿宋"/>
          <w:color w:val="000000" w:themeColor="text1"/>
          <w:sz w:val="28"/>
          <w:szCs w:val="28"/>
        </w:rPr>
        <w:t>。</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（3）每个工位应标明工位编号。</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（4）每个工位配有约0.5平方米的台面供选手书写、摆放工、量用。</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（5）安全通道宽度不小于1m。</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（6）考场电源功率必须能够满足所有设备正常启动工作。</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（7）考场应配有相应数量的清洁工具。</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（8）赛场为每位参赛选手提供THMDZT-1 型机械装调综合实训装置一台、配套图纸一套、常用拆装工具一套、常用检测工具一套、常用工装若干。</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（9）场地条件</w:t>
      </w:r>
    </w:p>
    <w:p>
      <w:pPr>
        <w:spacing w:line="360" w:lineRule="auto"/>
        <w:ind w:left="199" w:leftChars="95" w:firstLine="420" w:firstLineChars="15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电：三相电源380V，100 kw，二相电源：5 kw</w:t>
      </w:r>
    </w:p>
    <w:p>
      <w:pPr>
        <w:spacing w:line="360" w:lineRule="auto"/>
        <w:ind w:left="199" w:leftChars="95" w:firstLine="420" w:firstLineChars="15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水：清洁用水</w:t>
      </w:r>
    </w:p>
    <w:p>
      <w:pPr>
        <w:spacing w:line="360" w:lineRule="auto"/>
        <w:ind w:firstLine="658" w:firstLineChars="235"/>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2．设备清单</w:t>
      </w:r>
    </w:p>
    <w:p>
      <w:pPr>
        <w:spacing w:line="360" w:lineRule="auto"/>
        <w:ind w:firstLine="700" w:firstLineChars="25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THMDZT-1 型机械装调综合实训装置共4台、工具、量具、工装若干。</w:t>
      </w:r>
    </w:p>
    <w:p>
      <w:pPr>
        <w:spacing w:line="360" w:lineRule="auto"/>
        <w:ind w:firstLine="551" w:firstLineChars="196"/>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lang w:val="en-US" w:eastAsia="zh-CN"/>
        </w:rPr>
        <w:t>六</w:t>
      </w:r>
      <w:r>
        <w:rPr>
          <w:rFonts w:hint="eastAsia" w:ascii="仿宋" w:hAnsi="仿宋" w:eastAsia="仿宋" w:cs="仿宋"/>
          <w:b/>
          <w:color w:val="000000" w:themeColor="text1"/>
          <w:sz w:val="28"/>
          <w:szCs w:val="28"/>
        </w:rPr>
        <w:t>、竞赛规则</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（一）熟悉场地</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1.执委会安排参赛队统一有序地熟悉竞赛场地、设备，但不允许操作设备。</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2.熟悉场地时严禁与现场工作人员进行交流，不发表没有根据以及有损大赛整体形象的言论。</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3.熟悉场地严格遵守大赛各种制度，严禁拥挤，喧哗，以免发生意外事故。</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4.按照属地要求，做好疫情防护。</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（二）竞赛流程</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参赛选手检录并抽取工位号→安全教育→进入赛场，确认现场条件→比赛监督人员现场抽取本场次实操竞赛试题→发放实操试题→裁判长宣布实操比赛开始→子任务完成→现场裁判确认→下一项任务→现场裁判确认→时间到或者任务完成→现场裁判确认→裁判长宣布实操比赛结束→所有参赛组实操比赛完成→比赛监督人员现场抽取本场次理论竞赛试题→发放理论试题时间到或者任务完成→裁判长确认→裁判长宣布理论比赛结束→上交试卷及相关技术文件。（实操比赛时间为裁判长宣布比赛开始至裁判长宣布实操比赛结束）。</w:t>
      </w:r>
    </w:p>
    <w:p>
      <w:pPr>
        <w:snapToGrid w:val="0"/>
        <w:spacing w:line="360" w:lineRule="auto"/>
        <w:ind w:firstLine="551" w:firstLineChars="196"/>
        <w:rPr>
          <w:rFonts w:hint="eastAsia" w:ascii="仿宋" w:hAnsi="仿宋" w:eastAsia="仿宋" w:cs="仿宋"/>
          <w:b/>
          <w:bCs/>
          <w:color w:val="000000" w:themeColor="text1"/>
          <w:sz w:val="28"/>
          <w:szCs w:val="28"/>
        </w:rPr>
      </w:pPr>
      <w:r>
        <w:rPr>
          <w:rFonts w:hint="eastAsia" w:ascii="仿宋" w:hAnsi="仿宋" w:eastAsia="仿宋" w:cs="仿宋"/>
          <w:b/>
          <w:bCs/>
          <w:color w:val="000000" w:themeColor="text1"/>
          <w:sz w:val="28"/>
          <w:szCs w:val="28"/>
          <w:lang w:val="en-US" w:eastAsia="zh-CN"/>
        </w:rPr>
        <w:t>七</w:t>
      </w:r>
      <w:r>
        <w:rPr>
          <w:rFonts w:hint="eastAsia" w:ascii="仿宋" w:hAnsi="仿宋" w:eastAsia="仿宋" w:cs="仿宋"/>
          <w:b/>
          <w:bCs/>
          <w:color w:val="000000" w:themeColor="text1"/>
          <w:sz w:val="28"/>
          <w:szCs w:val="28"/>
        </w:rPr>
        <w:t>．技术平台</w:t>
      </w:r>
    </w:p>
    <w:p>
      <w:pPr>
        <w:snapToGrid w:val="0"/>
        <w:spacing w:line="360" w:lineRule="auto"/>
        <w:ind w:firstLine="560" w:firstLineChars="200"/>
        <w:rPr>
          <w:rFonts w:hint="eastAsia"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赛场提供的技术平台是“THMDZT-1 型机械装调技术综合实训装置”（浙江天煌科技实业有限公司生产）。</w:t>
      </w:r>
    </w:p>
    <w:p>
      <w:pPr>
        <w:widowControl/>
        <w:spacing w:line="360" w:lineRule="auto"/>
        <w:jc w:val="center"/>
        <w:rPr>
          <w:rFonts w:hint="eastAsia" w:ascii="仿宋" w:hAnsi="仿宋" w:eastAsia="仿宋" w:cs="仿宋"/>
          <w:b/>
          <w:bCs/>
          <w:color w:val="000000" w:themeColor="text1"/>
          <w:sz w:val="28"/>
          <w:szCs w:val="28"/>
        </w:rPr>
      </w:pPr>
      <w:r>
        <w:rPr>
          <w:rFonts w:hint="eastAsia" w:ascii="仿宋" w:hAnsi="仿宋" w:eastAsia="仿宋" w:cs="仿宋"/>
          <w:b/>
          <w:bCs/>
          <w:color w:val="000000" w:themeColor="text1"/>
          <w:sz w:val="28"/>
          <w:szCs w:val="28"/>
        </w:rPr>
        <w:t>竞赛使用装置参数信息表</w:t>
      </w:r>
    </w:p>
    <w:p>
      <w:pPr>
        <w:pStyle w:val="5"/>
        <w:spacing w:before="1" w:line="360" w:lineRule="auto"/>
        <w:rPr>
          <w:rFonts w:hint="eastAsia" w:ascii="仿宋" w:hAnsi="仿宋" w:eastAsia="仿宋" w:cs="仿宋"/>
          <w:color w:val="000000" w:themeColor="text1"/>
          <w:sz w:val="28"/>
          <w:szCs w:val="28"/>
        </w:rPr>
      </w:pP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2"/>
        <w:gridCol w:w="1579"/>
        <w:gridCol w:w="4536"/>
        <w:gridCol w:w="634"/>
        <w:gridCol w:w="10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722" w:type="dxa"/>
          </w:tcPr>
          <w:p>
            <w:pPr>
              <w:pStyle w:val="29"/>
              <w:spacing w:before="121" w:line="360" w:lineRule="auto"/>
              <w:ind w:left="128" w:right="121"/>
              <w:jc w:val="center"/>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序号</w:t>
            </w:r>
          </w:p>
        </w:tc>
        <w:tc>
          <w:tcPr>
            <w:tcW w:w="1579" w:type="dxa"/>
          </w:tcPr>
          <w:p>
            <w:pPr>
              <w:pStyle w:val="29"/>
              <w:spacing w:before="121" w:line="360" w:lineRule="auto"/>
              <w:ind w:left="202" w:right="194"/>
              <w:jc w:val="center"/>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名称</w:t>
            </w:r>
          </w:p>
        </w:tc>
        <w:tc>
          <w:tcPr>
            <w:tcW w:w="4536" w:type="dxa"/>
          </w:tcPr>
          <w:p>
            <w:pPr>
              <w:pStyle w:val="29"/>
              <w:spacing w:before="121" w:line="360" w:lineRule="auto"/>
              <w:ind w:left="1690" w:right="1676"/>
              <w:jc w:val="center"/>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技术参数</w:t>
            </w:r>
          </w:p>
        </w:tc>
        <w:tc>
          <w:tcPr>
            <w:tcW w:w="634" w:type="dxa"/>
          </w:tcPr>
          <w:p>
            <w:pPr>
              <w:pStyle w:val="29"/>
              <w:spacing w:before="121" w:line="360" w:lineRule="auto"/>
              <w:ind w:right="164"/>
              <w:jc w:val="right"/>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数量</w:t>
            </w:r>
          </w:p>
        </w:tc>
        <w:tc>
          <w:tcPr>
            <w:tcW w:w="1056" w:type="dxa"/>
          </w:tcPr>
          <w:p>
            <w:pPr>
              <w:pStyle w:val="29"/>
              <w:spacing w:before="121" w:line="360" w:lineRule="auto"/>
              <w:ind w:left="318"/>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722"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w:t>
            </w:r>
          </w:p>
        </w:tc>
        <w:tc>
          <w:tcPr>
            <w:tcW w:w="1579"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实训台</w:t>
            </w:r>
          </w:p>
        </w:tc>
        <w:tc>
          <w:tcPr>
            <w:tcW w:w="4536" w:type="dxa"/>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实训台外形尺寸：1800mm×700mm×825mm</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铸铁平板：1100mm×700mm×40mm 实木桌板：700mm×700mm×40mm</w:t>
            </w:r>
          </w:p>
        </w:tc>
        <w:tc>
          <w:tcPr>
            <w:tcW w:w="634"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台</w:t>
            </w:r>
          </w:p>
        </w:tc>
        <w:tc>
          <w:tcPr>
            <w:tcW w:w="1056" w:type="dxa"/>
          </w:tcPr>
          <w:p>
            <w:pPr>
              <w:spacing w:line="360" w:lineRule="auto"/>
              <w:rPr>
                <w:rFonts w:hint="eastAsia" w:ascii="仿宋" w:hAnsi="仿宋" w:eastAsia="仿宋" w:cs="仿宋"/>
                <w:color w:val="000000" w:themeColor="text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9" w:hRule="atLeast"/>
          <w:jc w:val="center"/>
        </w:trPr>
        <w:tc>
          <w:tcPr>
            <w:tcW w:w="722"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w:t>
            </w:r>
          </w:p>
        </w:tc>
        <w:tc>
          <w:tcPr>
            <w:tcW w:w="1579"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电源控制箱</w:t>
            </w:r>
          </w:p>
        </w:tc>
        <w:tc>
          <w:tcPr>
            <w:tcW w:w="4536" w:type="dxa"/>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输入电源：单相三线 AC220V±10% 50Hz</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电源总开关：带电流型漏电保护装置</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电源指示：当接通装置的工作电源，并且打开电源总开关时，指示灯亮</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调速器：为交流减速电机提供可调电源</w:t>
            </w:r>
          </w:p>
        </w:tc>
        <w:tc>
          <w:tcPr>
            <w:tcW w:w="634"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台</w:t>
            </w:r>
          </w:p>
        </w:tc>
        <w:tc>
          <w:tcPr>
            <w:tcW w:w="1056" w:type="dxa"/>
          </w:tcPr>
          <w:p>
            <w:pPr>
              <w:spacing w:line="360" w:lineRule="auto"/>
              <w:rPr>
                <w:rFonts w:hint="eastAsia" w:ascii="仿宋" w:hAnsi="仿宋" w:eastAsia="仿宋" w:cs="仿宋"/>
                <w:color w:val="000000" w:themeColor="text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jc w:val="center"/>
        </w:trPr>
        <w:tc>
          <w:tcPr>
            <w:tcW w:w="722"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w:t>
            </w:r>
          </w:p>
        </w:tc>
        <w:tc>
          <w:tcPr>
            <w:tcW w:w="1579"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交流减速电机</w:t>
            </w:r>
          </w:p>
        </w:tc>
        <w:tc>
          <w:tcPr>
            <w:tcW w:w="4536" w:type="dxa"/>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功 率 ：90W 减速比：1:25</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工作电源：AC220V</w:t>
            </w:r>
          </w:p>
        </w:tc>
        <w:tc>
          <w:tcPr>
            <w:tcW w:w="634"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台</w:t>
            </w:r>
          </w:p>
        </w:tc>
        <w:tc>
          <w:tcPr>
            <w:tcW w:w="1056" w:type="dxa"/>
          </w:tcPr>
          <w:p>
            <w:pPr>
              <w:spacing w:line="360" w:lineRule="auto"/>
              <w:rPr>
                <w:rFonts w:hint="eastAsia" w:ascii="仿宋" w:hAnsi="仿宋" w:eastAsia="仿宋" w:cs="仿宋"/>
                <w:color w:val="000000" w:themeColor="text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22" w:type="dxa"/>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w:t>
            </w:r>
          </w:p>
        </w:tc>
        <w:tc>
          <w:tcPr>
            <w:tcW w:w="1579" w:type="dxa"/>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调速器</w:t>
            </w:r>
          </w:p>
        </w:tc>
        <w:tc>
          <w:tcPr>
            <w:tcW w:w="4536" w:type="dxa"/>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适用电机：6～90W</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调速范围：90～1400r/min</w:t>
            </w:r>
          </w:p>
        </w:tc>
        <w:tc>
          <w:tcPr>
            <w:tcW w:w="634" w:type="dxa"/>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个</w:t>
            </w:r>
          </w:p>
        </w:tc>
        <w:tc>
          <w:tcPr>
            <w:tcW w:w="1056" w:type="dxa"/>
          </w:tcPr>
          <w:p>
            <w:pPr>
              <w:spacing w:line="360" w:lineRule="auto"/>
              <w:rPr>
                <w:rFonts w:hint="eastAsia" w:ascii="仿宋" w:hAnsi="仿宋" w:eastAsia="仿宋" w:cs="仿宋"/>
                <w:color w:val="000000" w:themeColor="text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9" w:hRule="atLeast"/>
          <w:jc w:val="center"/>
        </w:trPr>
        <w:tc>
          <w:tcPr>
            <w:tcW w:w="722"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w:t>
            </w:r>
          </w:p>
        </w:tc>
        <w:tc>
          <w:tcPr>
            <w:tcW w:w="1579"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传动机构</w:t>
            </w:r>
          </w:p>
        </w:tc>
        <w:tc>
          <w:tcPr>
            <w:tcW w:w="4536" w:type="dxa"/>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同步带轮：型号 XL075BF，齿数分别为 40 齿、50 齿和 60 齿</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链轮：08B 链轮，20 齿</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锥齿轮：M=2、Z=30；M=2、Z=48</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轴承座：采用精密铸造工艺加工而成</w:t>
            </w:r>
          </w:p>
        </w:tc>
        <w:tc>
          <w:tcPr>
            <w:tcW w:w="634"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套</w:t>
            </w:r>
          </w:p>
        </w:tc>
        <w:tc>
          <w:tcPr>
            <w:tcW w:w="1056" w:type="dxa"/>
          </w:tcPr>
          <w:p>
            <w:pPr>
              <w:spacing w:line="360" w:lineRule="auto"/>
              <w:rPr>
                <w:rFonts w:hint="eastAsia" w:ascii="仿宋" w:hAnsi="仿宋" w:eastAsia="仿宋" w:cs="仿宋"/>
                <w:color w:val="000000" w:themeColor="text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9" w:hRule="atLeast"/>
          <w:jc w:val="center"/>
        </w:trPr>
        <w:tc>
          <w:tcPr>
            <w:tcW w:w="722"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6</w:t>
            </w:r>
          </w:p>
        </w:tc>
        <w:tc>
          <w:tcPr>
            <w:tcW w:w="1579"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多级变速箱</w:t>
            </w:r>
          </w:p>
        </w:tc>
        <w:tc>
          <w:tcPr>
            <w:tcW w:w="4536" w:type="dxa"/>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外形尺寸：325mm×300mm×351mm</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直齿圆柱齿轮：M=2、Z=30；M=2、Z=42；M=2、Z=30；M=2.5、Z=20；M=2.5、Z=33；M=2.5、Z=43</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滑移齿轮组：M=2.5、Z=17；M=2.5、Z=27；M=2.5、 Z=40；M=2.5、Z=25；M=2.5、Z=35；M=2.5、Z=48</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多级变速箱箱体：采用精密铸造工艺加工而成</w:t>
            </w:r>
          </w:p>
        </w:tc>
        <w:tc>
          <w:tcPr>
            <w:tcW w:w="634" w:type="dxa"/>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套</w:t>
            </w:r>
          </w:p>
        </w:tc>
        <w:tc>
          <w:tcPr>
            <w:tcW w:w="1056" w:type="dxa"/>
          </w:tcPr>
          <w:p>
            <w:pPr>
              <w:spacing w:line="360" w:lineRule="auto"/>
              <w:rPr>
                <w:rFonts w:hint="eastAsia" w:ascii="仿宋" w:hAnsi="仿宋" w:eastAsia="仿宋" w:cs="仿宋"/>
                <w:color w:val="000000" w:themeColor="text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4" w:hRule="atLeast"/>
          <w:jc w:val="center"/>
        </w:trPr>
        <w:tc>
          <w:tcPr>
            <w:tcW w:w="722" w:type="dxa"/>
            <w:tcBorders>
              <w:bottom w:val="single" w:color="auto" w:sz="4" w:space="0"/>
            </w:tcBorders>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7</w:t>
            </w:r>
          </w:p>
        </w:tc>
        <w:tc>
          <w:tcPr>
            <w:tcW w:w="1579" w:type="dxa"/>
            <w:tcBorders>
              <w:bottom w:val="single" w:color="auto" w:sz="4" w:space="0"/>
            </w:tcBorders>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二维工作台</w:t>
            </w:r>
          </w:p>
        </w:tc>
        <w:tc>
          <w:tcPr>
            <w:tcW w:w="4536" w:type="dxa"/>
            <w:tcBorders>
              <w:bottom w:val="single" w:color="auto" w:sz="4" w:space="0"/>
            </w:tcBorders>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外形尺寸：530 mm×423 mm×219 mm</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直线导轨副：一种长度为 460mm、宽度 15mm；</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长度为 280mm、宽度 15mm</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滚珠丝杠螺母副：公称直径 20mm；导程 5mm； 右旋；长度分别为 506mm、356mm</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台面：采用精密铸造工艺加工而成</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轴承座：采用精密铸造工艺加工而成</w:t>
            </w:r>
          </w:p>
        </w:tc>
        <w:tc>
          <w:tcPr>
            <w:tcW w:w="634" w:type="dxa"/>
            <w:tcBorders>
              <w:bottom w:val="single" w:color="auto" w:sz="4" w:space="0"/>
            </w:tcBorders>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套</w:t>
            </w:r>
          </w:p>
        </w:tc>
        <w:tc>
          <w:tcPr>
            <w:tcW w:w="1056" w:type="dxa"/>
            <w:tcBorders>
              <w:bottom w:val="single" w:color="auto" w:sz="4" w:space="0"/>
            </w:tcBorders>
          </w:tcPr>
          <w:p>
            <w:pPr>
              <w:spacing w:line="360" w:lineRule="auto"/>
              <w:rPr>
                <w:rFonts w:hint="eastAsia" w:ascii="仿宋" w:hAnsi="仿宋" w:eastAsia="仿宋" w:cs="仿宋"/>
                <w:color w:val="000000" w:themeColor="text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jc w:val="center"/>
        </w:trPr>
        <w:tc>
          <w:tcPr>
            <w:tcW w:w="722"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8</w:t>
            </w:r>
          </w:p>
        </w:tc>
        <w:tc>
          <w:tcPr>
            <w:tcW w:w="1579"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齿轮减速器</w:t>
            </w:r>
          </w:p>
        </w:tc>
        <w:tc>
          <w:tcPr>
            <w:tcW w:w="4536"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外形尺寸：284mm×218mm×176mm</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直齿圆柱齿轮：M=2Z=32；M=2Z=50；M=3Z=18； M=3Z=36</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齿轮传动比分别为 1:2、1:1.5625</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齿轮减速器箱体：采用精密铸造工艺加工而成</w:t>
            </w:r>
          </w:p>
        </w:tc>
        <w:tc>
          <w:tcPr>
            <w:tcW w:w="634"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套</w:t>
            </w:r>
          </w:p>
        </w:tc>
        <w:tc>
          <w:tcPr>
            <w:tcW w:w="1056"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jc w:val="center"/>
        </w:trPr>
        <w:tc>
          <w:tcPr>
            <w:tcW w:w="722"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9</w:t>
            </w:r>
          </w:p>
        </w:tc>
        <w:tc>
          <w:tcPr>
            <w:tcW w:w="1579"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分度转盘部件</w:t>
            </w:r>
          </w:p>
        </w:tc>
        <w:tc>
          <w:tcPr>
            <w:tcW w:w="4536"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外形尺寸：432 mm×390 mm×221 mm</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蜗轮：M=2.5Z=30</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分度机构：利用槽轮机构进行 90 度分度</w:t>
            </w:r>
          </w:p>
        </w:tc>
        <w:tc>
          <w:tcPr>
            <w:tcW w:w="634"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套</w:t>
            </w:r>
          </w:p>
        </w:tc>
        <w:tc>
          <w:tcPr>
            <w:tcW w:w="1056" w:type="dxa"/>
            <w:tcBorders>
              <w:top w:val="single" w:color="auto" w:sz="4" w:space="0"/>
              <w:bottom w:val="single" w:color="auto" w:sz="4" w:space="0"/>
            </w:tcBorders>
          </w:tcPr>
          <w:p>
            <w:pPr>
              <w:spacing w:line="360" w:lineRule="auto"/>
              <w:rPr>
                <w:rFonts w:hint="eastAsia" w:ascii="仿宋" w:hAnsi="仿宋" w:eastAsia="仿宋" w:cs="仿宋"/>
                <w:color w:val="000000" w:themeColor="text1"/>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0" w:hRule="atLeast"/>
          <w:jc w:val="center"/>
        </w:trPr>
        <w:tc>
          <w:tcPr>
            <w:tcW w:w="722" w:type="dxa"/>
            <w:tcBorders>
              <w:top w:val="single" w:color="auto" w:sz="4" w:space="0"/>
            </w:tcBorders>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10</w:t>
            </w:r>
          </w:p>
        </w:tc>
        <w:tc>
          <w:tcPr>
            <w:tcW w:w="1579" w:type="dxa"/>
            <w:tcBorders>
              <w:top w:val="single" w:color="auto" w:sz="4" w:space="0"/>
            </w:tcBorders>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自动冲床</w:t>
            </w:r>
          </w:p>
        </w:tc>
        <w:tc>
          <w:tcPr>
            <w:tcW w:w="4536" w:type="dxa"/>
            <w:tcBorders>
              <w:top w:val="single" w:color="auto" w:sz="4" w:space="0"/>
            </w:tcBorders>
          </w:tcPr>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外形尺寸：290 mm×192mm×392.5 mm</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冲头行程：0～32mm  驱动方式：机械式动</w:t>
            </w: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自动冲床床身：采用精密铸造工艺加工而成</w:t>
            </w:r>
          </w:p>
        </w:tc>
        <w:tc>
          <w:tcPr>
            <w:tcW w:w="634" w:type="dxa"/>
            <w:tcBorders>
              <w:top w:val="single" w:color="auto" w:sz="4" w:space="0"/>
            </w:tcBorders>
          </w:tcPr>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p>
          <w:p>
            <w:pPr>
              <w:spacing w:line="360" w:lineRule="auto"/>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 套</w:t>
            </w:r>
          </w:p>
        </w:tc>
        <w:tc>
          <w:tcPr>
            <w:tcW w:w="1056" w:type="dxa"/>
            <w:tcBorders>
              <w:top w:val="single" w:color="auto" w:sz="4" w:space="0"/>
            </w:tcBorders>
          </w:tcPr>
          <w:p>
            <w:pPr>
              <w:spacing w:line="360" w:lineRule="auto"/>
              <w:rPr>
                <w:rFonts w:hint="eastAsia" w:ascii="仿宋" w:hAnsi="仿宋" w:eastAsia="仿宋" w:cs="仿宋"/>
                <w:color w:val="000000" w:themeColor="text1"/>
                <w:sz w:val="28"/>
                <w:szCs w:val="28"/>
              </w:rPr>
            </w:pPr>
          </w:p>
        </w:tc>
      </w:tr>
    </w:tbl>
    <w:p>
      <w:pPr>
        <w:spacing w:line="360" w:lineRule="auto"/>
        <w:rPr>
          <w:rFonts w:hint="eastAsia" w:ascii="仿宋" w:hAnsi="仿宋" w:eastAsia="仿宋" w:cs="仿宋"/>
          <w:color w:val="000000" w:themeColor="text1"/>
          <w:sz w:val="28"/>
          <w:szCs w:val="28"/>
        </w:rPr>
        <w:sectPr>
          <w:pgSz w:w="11910" w:h="16840"/>
          <w:pgMar w:top="1520" w:right="1300" w:bottom="280" w:left="1580" w:header="720" w:footer="720" w:gutter="0"/>
          <w:cols w:space="720" w:num="1"/>
        </w:sectPr>
      </w:pPr>
    </w:p>
    <w:p>
      <w:pPr>
        <w:pStyle w:val="26"/>
        <w:spacing w:line="360" w:lineRule="auto"/>
        <w:ind w:firstLine="551" w:firstLineChars="196"/>
        <w:rPr>
          <w:rFonts w:hint="eastAsia" w:ascii="仿宋" w:hAnsi="仿宋" w:eastAsia="仿宋" w:cs="仿宋"/>
          <w:b/>
          <w:bCs/>
          <w:color w:val="000000" w:themeColor="text1"/>
          <w:sz w:val="28"/>
          <w:szCs w:val="28"/>
        </w:rPr>
      </w:pPr>
      <w:r>
        <w:rPr>
          <w:rFonts w:hint="eastAsia" w:ascii="仿宋" w:hAnsi="仿宋" w:eastAsia="仿宋" w:cs="仿宋"/>
          <w:b/>
          <w:bCs/>
          <w:color w:val="000000" w:themeColor="text1"/>
          <w:sz w:val="28"/>
          <w:szCs w:val="28"/>
          <w:lang w:val="en-US" w:eastAsia="zh-CN"/>
        </w:rPr>
        <w:t>八</w:t>
      </w:r>
      <w:r>
        <w:rPr>
          <w:rFonts w:hint="eastAsia" w:ascii="仿宋" w:hAnsi="仿宋" w:eastAsia="仿宋" w:cs="仿宋"/>
          <w:b/>
          <w:bCs/>
          <w:color w:val="000000" w:themeColor="text1"/>
          <w:sz w:val="28"/>
          <w:szCs w:val="28"/>
        </w:rPr>
        <w:t>、成绩评定</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（一）评分标准</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参照国家职业技能标准《机械设备安装工国家职业标准》、《装配钳工国家职业标准》、《机修钳工国家职业标准》中规定的国家职业资格高级工、技师的技能操作要求，依据选手完成竞赛任务的情况，按照竞赛标准进行现场评分。评价方式采用过程评价与结果评价相结合，工艺评价与功能评价相结合，能力评价与职业素养评价相结合，赛项总成绩满分为100分。</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(二)评分项目及配分</w:t>
      </w:r>
    </w:p>
    <w:p>
      <w:pPr>
        <w:widowControl/>
        <w:spacing w:line="360" w:lineRule="auto"/>
        <w:jc w:val="center"/>
        <w:rPr>
          <w:rFonts w:hint="eastAsia" w:ascii="仿宋" w:hAnsi="仿宋" w:eastAsia="仿宋" w:cs="仿宋"/>
          <w:b/>
          <w:bCs/>
          <w:color w:val="000000" w:themeColor="text1"/>
          <w:sz w:val="28"/>
          <w:szCs w:val="28"/>
        </w:rPr>
      </w:pPr>
      <w:r>
        <w:rPr>
          <w:rFonts w:hint="eastAsia" w:ascii="仿宋" w:hAnsi="仿宋" w:eastAsia="仿宋" w:cs="仿宋"/>
          <w:b/>
          <w:bCs/>
          <w:color w:val="000000" w:themeColor="text1"/>
          <w:sz w:val="28"/>
          <w:szCs w:val="28"/>
        </w:rPr>
        <w:t>评分项目及配分</w:t>
      </w:r>
    </w:p>
    <w:tbl>
      <w:tblPr>
        <w:tblStyle w:val="28"/>
        <w:tblW w:w="81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70"/>
        <w:gridCol w:w="707"/>
        <w:gridCol w:w="4815"/>
        <w:gridCol w:w="8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jc w:val="center"/>
        </w:trPr>
        <w:tc>
          <w:tcPr>
            <w:tcW w:w="1770" w:type="dxa"/>
          </w:tcPr>
          <w:p>
            <w:pPr>
              <w:spacing w:before="68" w:line="360" w:lineRule="auto"/>
              <w:ind w:left="474"/>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3"/>
                <w:sz w:val="28"/>
                <w:szCs w:val="28"/>
              </w:rPr>
              <w:t>一</w:t>
            </w:r>
            <w:r>
              <w:rPr>
                <w:rFonts w:hint="eastAsia" w:ascii="仿宋" w:hAnsi="仿宋" w:eastAsia="仿宋" w:cs="仿宋"/>
                <w:snapToGrid w:val="0"/>
                <w:color w:val="000000" w:themeColor="text1"/>
                <w:spacing w:val="-2"/>
                <w:sz w:val="28"/>
                <w:szCs w:val="28"/>
              </w:rPr>
              <w:t>级指标</w:t>
            </w:r>
          </w:p>
        </w:tc>
        <w:tc>
          <w:tcPr>
            <w:tcW w:w="707" w:type="dxa"/>
          </w:tcPr>
          <w:p>
            <w:pPr>
              <w:spacing w:before="68" w:line="360" w:lineRule="auto"/>
              <w:ind w:left="148"/>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配</w:t>
            </w:r>
            <w:r>
              <w:rPr>
                <w:rFonts w:hint="eastAsia" w:ascii="仿宋" w:hAnsi="仿宋" w:eastAsia="仿宋" w:cs="仿宋"/>
                <w:snapToGrid w:val="0"/>
                <w:color w:val="000000" w:themeColor="text1"/>
                <w:spacing w:val="-1"/>
                <w:sz w:val="28"/>
                <w:szCs w:val="28"/>
              </w:rPr>
              <w:t>分</w:t>
            </w:r>
          </w:p>
        </w:tc>
        <w:tc>
          <w:tcPr>
            <w:tcW w:w="4815" w:type="dxa"/>
          </w:tcPr>
          <w:p>
            <w:pPr>
              <w:spacing w:before="68" w:line="360" w:lineRule="auto"/>
              <w:ind w:left="1996"/>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3"/>
                <w:sz w:val="28"/>
                <w:szCs w:val="28"/>
              </w:rPr>
              <w:t>二</w:t>
            </w:r>
            <w:r>
              <w:rPr>
                <w:rFonts w:hint="eastAsia" w:ascii="仿宋" w:hAnsi="仿宋" w:eastAsia="仿宋" w:cs="仿宋"/>
                <w:snapToGrid w:val="0"/>
                <w:color w:val="000000" w:themeColor="text1"/>
                <w:spacing w:val="-2"/>
                <w:sz w:val="28"/>
                <w:szCs w:val="28"/>
              </w:rPr>
              <w:t>级指标</w:t>
            </w:r>
          </w:p>
        </w:tc>
        <w:tc>
          <w:tcPr>
            <w:tcW w:w="866" w:type="dxa"/>
          </w:tcPr>
          <w:p>
            <w:pPr>
              <w:spacing w:before="68" w:line="360" w:lineRule="auto"/>
              <w:ind w:left="229"/>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配</w:t>
            </w:r>
            <w:r>
              <w:rPr>
                <w:rFonts w:hint="eastAsia" w:ascii="仿宋" w:hAnsi="仿宋" w:eastAsia="仿宋" w:cs="仿宋"/>
                <w:snapToGrid w:val="0"/>
                <w:color w:val="000000" w:themeColor="text1"/>
                <w:spacing w:val="-1"/>
                <w:sz w:val="28"/>
                <w:szCs w:val="28"/>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1770" w:type="dxa"/>
            <w:vMerge w:val="restart"/>
            <w:tcBorders>
              <w:bottom w:val="nil"/>
            </w:tcBorders>
          </w:tcPr>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before="69" w:line="360" w:lineRule="auto"/>
              <w:ind w:left="681" w:right="145" w:hanging="527"/>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变速箱的拆</w:t>
            </w:r>
            <w:r>
              <w:rPr>
                <w:rFonts w:hint="eastAsia" w:ascii="仿宋" w:hAnsi="仿宋" w:eastAsia="仿宋" w:cs="仿宋"/>
                <w:snapToGrid w:val="0"/>
                <w:color w:val="000000" w:themeColor="text1"/>
                <w:sz w:val="28"/>
                <w:szCs w:val="28"/>
              </w:rPr>
              <w:t>装与</w:t>
            </w:r>
            <w:r>
              <w:rPr>
                <w:rFonts w:hint="eastAsia" w:ascii="仿宋" w:hAnsi="仿宋" w:eastAsia="仿宋" w:cs="仿宋"/>
                <w:snapToGrid w:val="0"/>
                <w:color w:val="000000" w:themeColor="text1"/>
                <w:spacing w:val="-2"/>
                <w:sz w:val="28"/>
                <w:szCs w:val="28"/>
              </w:rPr>
              <w:t>调整</w:t>
            </w:r>
          </w:p>
        </w:tc>
        <w:tc>
          <w:tcPr>
            <w:tcW w:w="707" w:type="dxa"/>
            <w:vMerge w:val="restart"/>
            <w:tcBorders>
              <w:bottom w:val="nil"/>
            </w:tcBorders>
          </w:tcPr>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before="69" w:line="360" w:lineRule="auto"/>
              <w:ind w:left="267"/>
              <w:rPr>
                <w:rFonts w:hint="default" w:ascii="仿宋" w:hAnsi="仿宋" w:eastAsia="仿宋" w:cs="仿宋"/>
                <w:snapToGrid w:val="0"/>
                <w:color w:val="000000" w:themeColor="text1"/>
                <w:sz w:val="28"/>
                <w:szCs w:val="28"/>
                <w:lang w:val="en-US" w:eastAsia="zh-CN"/>
              </w:rPr>
            </w:pPr>
            <w:r>
              <w:rPr>
                <w:rFonts w:hint="eastAsia" w:ascii="仿宋" w:hAnsi="仿宋" w:eastAsia="仿宋" w:cs="仿宋"/>
                <w:snapToGrid w:val="0"/>
                <w:color w:val="000000" w:themeColor="text1"/>
                <w:spacing w:val="-12"/>
                <w:sz w:val="28"/>
                <w:szCs w:val="28"/>
                <w:lang w:val="en-US" w:eastAsia="zh-CN"/>
              </w:rPr>
              <w:t>22</w:t>
            </w:r>
          </w:p>
        </w:tc>
        <w:tc>
          <w:tcPr>
            <w:tcW w:w="4815" w:type="dxa"/>
          </w:tcPr>
          <w:p>
            <w:pPr>
              <w:spacing w:before="63" w:line="360" w:lineRule="auto"/>
              <w:ind w:left="129"/>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1"/>
                <w:sz w:val="28"/>
                <w:szCs w:val="28"/>
              </w:rPr>
              <w:t>1</w:t>
            </w:r>
            <w:r>
              <w:rPr>
                <w:rFonts w:hint="eastAsia" w:ascii="仿宋" w:hAnsi="仿宋" w:eastAsia="仿宋" w:cs="仿宋"/>
                <w:snapToGrid w:val="0"/>
                <w:color w:val="000000" w:themeColor="text1"/>
                <w:spacing w:val="-10"/>
                <w:sz w:val="28"/>
                <w:szCs w:val="28"/>
              </w:rPr>
              <w:t>.完成固定轴1和固定轴2上齿轮的拆卸</w:t>
            </w:r>
          </w:p>
        </w:tc>
        <w:tc>
          <w:tcPr>
            <w:tcW w:w="866" w:type="dxa"/>
          </w:tcPr>
          <w:p>
            <w:pPr>
              <w:spacing w:before="98" w:line="360" w:lineRule="auto"/>
              <w:ind w:left="387"/>
              <w:rPr>
                <w:rFonts w:hint="eastAsia" w:ascii="仿宋" w:hAnsi="仿宋" w:eastAsia="仿宋" w:cs="仿宋"/>
                <w:snapToGrid w:val="0"/>
                <w:color w:val="000000" w:themeColor="text1"/>
                <w:sz w:val="28"/>
                <w:szCs w:val="28"/>
                <w:lang w:eastAsia="zh-CN"/>
              </w:rPr>
            </w:pPr>
            <w:r>
              <w:rPr>
                <w:rFonts w:hint="eastAsia" w:ascii="仿宋" w:hAnsi="仿宋" w:eastAsia="仿宋" w:cs="仿宋"/>
                <w:snapToGrid w:val="0"/>
                <w:color w:val="000000" w:themeColor="text1"/>
                <w:sz w:val="28"/>
                <w:szCs w:val="28"/>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5" w:line="360" w:lineRule="auto"/>
              <w:ind w:left="116"/>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2.变速箱的安装</w:t>
            </w:r>
          </w:p>
        </w:tc>
        <w:tc>
          <w:tcPr>
            <w:tcW w:w="866" w:type="dxa"/>
          </w:tcPr>
          <w:p>
            <w:pPr>
              <w:spacing w:before="101" w:line="360" w:lineRule="auto"/>
              <w:ind w:left="387"/>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31" w:line="360" w:lineRule="auto"/>
              <w:ind w:left="113" w:right="289" w:firstLine="4"/>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8"/>
                <w:sz w:val="28"/>
                <w:szCs w:val="28"/>
              </w:rPr>
              <w:t>3.测量</w:t>
            </w:r>
            <w:r>
              <w:rPr>
                <w:rFonts w:hint="eastAsia" w:ascii="仿宋" w:hAnsi="仿宋" w:eastAsia="仿宋" w:cs="仿宋"/>
                <w:snapToGrid w:val="0"/>
                <w:color w:val="000000" w:themeColor="text1"/>
                <w:spacing w:val="-5"/>
                <w:sz w:val="28"/>
                <w:szCs w:val="28"/>
              </w:rPr>
              <w:t>固</w:t>
            </w:r>
            <w:r>
              <w:rPr>
                <w:rFonts w:hint="eastAsia" w:ascii="仿宋" w:hAnsi="仿宋" w:eastAsia="仿宋" w:cs="仿宋"/>
                <w:snapToGrid w:val="0"/>
                <w:color w:val="000000" w:themeColor="text1"/>
                <w:spacing w:val="-4"/>
                <w:sz w:val="28"/>
                <w:szCs w:val="28"/>
              </w:rPr>
              <w:t>定轴1安装皮带轮处轴的径向圆跳动和</w:t>
            </w:r>
            <w:r>
              <w:rPr>
                <w:rFonts w:hint="eastAsia" w:ascii="仿宋" w:hAnsi="仿宋" w:eastAsia="仿宋" w:cs="仿宋"/>
                <w:snapToGrid w:val="0"/>
                <w:color w:val="000000" w:themeColor="text1"/>
                <w:spacing w:val="-2"/>
                <w:sz w:val="28"/>
                <w:szCs w:val="28"/>
              </w:rPr>
              <w:t>轴</w:t>
            </w:r>
            <w:r>
              <w:rPr>
                <w:rFonts w:hint="eastAsia" w:ascii="仿宋" w:hAnsi="仿宋" w:eastAsia="仿宋" w:cs="仿宋"/>
                <w:snapToGrid w:val="0"/>
                <w:color w:val="000000" w:themeColor="text1"/>
                <w:spacing w:val="-1"/>
                <w:sz w:val="28"/>
                <w:szCs w:val="28"/>
              </w:rPr>
              <w:t>向窜动</w:t>
            </w:r>
          </w:p>
        </w:tc>
        <w:tc>
          <w:tcPr>
            <w:tcW w:w="866" w:type="dxa"/>
          </w:tcPr>
          <w:p>
            <w:pPr>
              <w:spacing w:before="204" w:line="360" w:lineRule="auto"/>
              <w:ind w:left="392"/>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1770" w:type="dxa"/>
            <w:vMerge w:val="continue"/>
            <w:tcBorders>
              <w:top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31" w:line="360" w:lineRule="auto"/>
              <w:ind w:left="114" w:right="184" w:hanging="1"/>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4"/>
                <w:sz w:val="28"/>
                <w:szCs w:val="28"/>
              </w:rPr>
              <w:t>4.</w:t>
            </w:r>
            <w:r>
              <w:rPr>
                <w:rFonts w:hint="eastAsia" w:ascii="仿宋" w:hAnsi="仿宋" w:eastAsia="仿宋" w:cs="仿宋"/>
                <w:snapToGrid w:val="0"/>
                <w:color w:val="000000" w:themeColor="text1"/>
                <w:spacing w:val="-10"/>
                <w:sz w:val="28"/>
                <w:szCs w:val="28"/>
              </w:rPr>
              <w:t>调</w:t>
            </w:r>
            <w:r>
              <w:rPr>
                <w:rFonts w:hint="eastAsia" w:ascii="仿宋" w:hAnsi="仿宋" w:eastAsia="仿宋" w:cs="仿宋"/>
                <w:snapToGrid w:val="0"/>
                <w:color w:val="000000" w:themeColor="text1"/>
                <w:spacing w:val="-7"/>
                <w:sz w:val="28"/>
                <w:szCs w:val="28"/>
              </w:rPr>
              <w:t>整滑移齿轮组2中齿数为Z=40的齿轮与相啮</w:t>
            </w:r>
            <w:r>
              <w:rPr>
                <w:rFonts w:hint="eastAsia" w:ascii="仿宋" w:hAnsi="仿宋" w:eastAsia="仿宋" w:cs="仿宋"/>
                <w:snapToGrid w:val="0"/>
                <w:color w:val="000000" w:themeColor="text1"/>
                <w:spacing w:val="-8"/>
                <w:sz w:val="28"/>
                <w:szCs w:val="28"/>
              </w:rPr>
              <w:t>合齿轮</w:t>
            </w:r>
            <w:r>
              <w:rPr>
                <w:rFonts w:hint="eastAsia" w:ascii="仿宋" w:hAnsi="仿宋" w:eastAsia="仿宋" w:cs="仿宋"/>
                <w:snapToGrid w:val="0"/>
                <w:color w:val="000000" w:themeColor="text1"/>
                <w:spacing w:val="-4"/>
                <w:sz w:val="28"/>
                <w:szCs w:val="28"/>
              </w:rPr>
              <w:t>端面轴向错位量及Z=40的齿轮齿顶圆直径</w:t>
            </w:r>
            <w:r>
              <w:rPr>
                <w:rFonts w:hint="eastAsia" w:ascii="仿宋" w:hAnsi="仿宋" w:eastAsia="仿宋" w:cs="仿宋"/>
                <w:snapToGrid w:val="0"/>
                <w:color w:val="000000" w:themeColor="text1"/>
                <w:spacing w:val="-1"/>
                <w:sz w:val="28"/>
                <w:szCs w:val="28"/>
              </w:rPr>
              <w:t>和齿根圆直径</w:t>
            </w:r>
          </w:p>
        </w:tc>
        <w:tc>
          <w:tcPr>
            <w:tcW w:w="866" w:type="dxa"/>
          </w:tcPr>
          <w:p>
            <w:pPr>
              <w:spacing w:line="360" w:lineRule="auto"/>
              <w:rPr>
                <w:rFonts w:hint="eastAsia" w:ascii="仿宋" w:hAnsi="仿宋" w:eastAsia="仿宋" w:cs="仿宋"/>
                <w:snapToGrid w:val="0"/>
                <w:color w:val="000000" w:themeColor="text1"/>
                <w:sz w:val="28"/>
                <w:szCs w:val="28"/>
              </w:rPr>
            </w:pPr>
          </w:p>
          <w:p>
            <w:pPr>
              <w:spacing w:before="69" w:line="360" w:lineRule="auto"/>
              <w:ind w:left="389"/>
              <w:rPr>
                <w:rFonts w:hint="eastAsia" w:ascii="仿宋" w:hAnsi="仿宋" w:eastAsia="仿宋" w:cs="仿宋"/>
                <w:snapToGrid w:val="0"/>
                <w:color w:val="000000" w:themeColor="text1"/>
                <w:sz w:val="28"/>
                <w:szCs w:val="28"/>
                <w:lang w:eastAsia="zh-CN"/>
              </w:rPr>
            </w:pPr>
            <w:r>
              <w:rPr>
                <w:rFonts w:hint="eastAsia" w:ascii="仿宋" w:hAnsi="仿宋" w:eastAsia="仿宋" w:cs="仿宋"/>
                <w:snapToGrid w:val="0"/>
                <w:color w:val="000000" w:themeColor="text1"/>
                <w:sz w:val="28"/>
                <w:szCs w:val="28"/>
                <w:lang w:val="en-US"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1770" w:type="dxa"/>
            <w:vMerge w:val="restart"/>
            <w:tcBorders>
              <w:bottom w:val="nil"/>
            </w:tcBorders>
          </w:tcPr>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before="69" w:line="360" w:lineRule="auto"/>
              <w:ind w:left="470" w:right="145" w:hanging="31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二</w:t>
            </w:r>
            <w:r>
              <w:rPr>
                <w:rFonts w:hint="eastAsia" w:ascii="仿宋" w:hAnsi="仿宋" w:eastAsia="仿宋" w:cs="仿宋"/>
                <w:snapToGrid w:val="0"/>
                <w:color w:val="000000" w:themeColor="text1"/>
                <w:spacing w:val="-1"/>
                <w:sz w:val="28"/>
                <w:szCs w:val="28"/>
              </w:rPr>
              <w:t>维工作台的拆</w:t>
            </w:r>
            <w:r>
              <w:rPr>
                <w:rFonts w:hint="eastAsia" w:ascii="仿宋" w:hAnsi="仿宋" w:eastAsia="仿宋" w:cs="仿宋"/>
                <w:snapToGrid w:val="0"/>
                <w:color w:val="000000" w:themeColor="text1"/>
                <w:spacing w:val="-2"/>
                <w:sz w:val="28"/>
                <w:szCs w:val="28"/>
              </w:rPr>
              <w:t>装</w:t>
            </w:r>
            <w:r>
              <w:rPr>
                <w:rFonts w:hint="eastAsia" w:ascii="仿宋" w:hAnsi="仿宋" w:eastAsia="仿宋" w:cs="仿宋"/>
                <w:snapToGrid w:val="0"/>
                <w:color w:val="000000" w:themeColor="text1"/>
                <w:spacing w:val="-1"/>
                <w:sz w:val="28"/>
                <w:szCs w:val="28"/>
              </w:rPr>
              <w:t>与调整</w:t>
            </w:r>
          </w:p>
        </w:tc>
        <w:tc>
          <w:tcPr>
            <w:tcW w:w="707" w:type="dxa"/>
            <w:vMerge w:val="restart"/>
            <w:tcBorders>
              <w:bottom w:val="nil"/>
            </w:tcBorders>
          </w:tcPr>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before="68" w:line="360" w:lineRule="auto"/>
              <w:ind w:left="251"/>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4"/>
                <w:sz w:val="28"/>
                <w:szCs w:val="28"/>
              </w:rPr>
              <w:t>4</w:t>
            </w:r>
            <w:r>
              <w:rPr>
                <w:rFonts w:hint="eastAsia" w:ascii="仿宋" w:hAnsi="仿宋" w:eastAsia="仿宋" w:cs="仿宋"/>
                <w:snapToGrid w:val="0"/>
                <w:color w:val="000000" w:themeColor="text1"/>
                <w:spacing w:val="-3"/>
                <w:sz w:val="28"/>
                <w:szCs w:val="28"/>
              </w:rPr>
              <w:t>0</w:t>
            </w:r>
          </w:p>
        </w:tc>
        <w:tc>
          <w:tcPr>
            <w:tcW w:w="4815" w:type="dxa"/>
          </w:tcPr>
          <w:p>
            <w:pPr>
              <w:spacing w:before="63" w:line="360" w:lineRule="auto"/>
              <w:ind w:left="129"/>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3"/>
                <w:sz w:val="28"/>
                <w:szCs w:val="28"/>
              </w:rPr>
              <w:t>1</w:t>
            </w:r>
            <w:r>
              <w:rPr>
                <w:rFonts w:hint="eastAsia" w:ascii="仿宋" w:hAnsi="仿宋" w:eastAsia="仿宋" w:cs="仿宋"/>
                <w:snapToGrid w:val="0"/>
                <w:color w:val="000000" w:themeColor="text1"/>
                <w:spacing w:val="-2"/>
                <w:sz w:val="28"/>
                <w:szCs w:val="28"/>
              </w:rPr>
              <w:t>.二维工作台的拆卸</w:t>
            </w:r>
          </w:p>
        </w:tc>
        <w:tc>
          <w:tcPr>
            <w:tcW w:w="866" w:type="dxa"/>
          </w:tcPr>
          <w:p>
            <w:pPr>
              <w:spacing w:before="99"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4" w:line="360" w:lineRule="auto"/>
              <w:ind w:left="116"/>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2.导轨的安装</w:t>
            </w:r>
            <w:r>
              <w:rPr>
                <w:rFonts w:hint="eastAsia" w:ascii="仿宋" w:hAnsi="仿宋" w:eastAsia="仿宋" w:cs="仿宋"/>
                <w:snapToGrid w:val="0"/>
                <w:color w:val="000000" w:themeColor="text1"/>
                <w:sz w:val="28"/>
                <w:szCs w:val="28"/>
              </w:rPr>
              <w:t>、调整与检测</w:t>
            </w:r>
          </w:p>
        </w:tc>
        <w:tc>
          <w:tcPr>
            <w:tcW w:w="866" w:type="dxa"/>
          </w:tcPr>
          <w:p>
            <w:pPr>
              <w:spacing w:before="98" w:line="360" w:lineRule="auto"/>
              <w:ind w:left="35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2"/>
                <w:sz w:val="28"/>
                <w:szCs w:val="28"/>
              </w:rPr>
              <w:t>1</w:t>
            </w:r>
            <w:r>
              <w:rPr>
                <w:rFonts w:hint="eastAsia" w:ascii="仿宋" w:hAnsi="仿宋" w:eastAsia="仿宋" w:cs="仿宋"/>
                <w:snapToGrid w:val="0"/>
                <w:color w:val="000000" w:themeColor="text1"/>
                <w:spacing w:val="-11"/>
                <w:sz w:val="28"/>
                <w:szCs w:val="28"/>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4" w:line="360" w:lineRule="auto"/>
              <w:ind w:left="118"/>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3.丝杆的安装、调</w:t>
            </w:r>
            <w:r>
              <w:rPr>
                <w:rFonts w:hint="eastAsia" w:ascii="仿宋" w:hAnsi="仿宋" w:eastAsia="仿宋" w:cs="仿宋"/>
                <w:snapToGrid w:val="0"/>
                <w:color w:val="000000" w:themeColor="text1"/>
                <w:sz w:val="28"/>
                <w:szCs w:val="28"/>
              </w:rPr>
              <w:t>整与检测</w:t>
            </w:r>
          </w:p>
        </w:tc>
        <w:tc>
          <w:tcPr>
            <w:tcW w:w="866" w:type="dxa"/>
          </w:tcPr>
          <w:p>
            <w:pPr>
              <w:spacing w:before="99" w:line="360" w:lineRule="auto"/>
              <w:ind w:left="35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7"/>
                <w:sz w:val="28"/>
                <w:szCs w:val="28"/>
              </w:rPr>
              <w:t>1</w:t>
            </w:r>
            <w:r>
              <w:rPr>
                <w:rFonts w:hint="eastAsia" w:ascii="仿宋" w:hAnsi="仿宋" w:eastAsia="仿宋" w:cs="仿宋"/>
                <w:snapToGrid w:val="0"/>
                <w:color w:val="000000" w:themeColor="text1"/>
                <w:spacing w:val="-5"/>
                <w:sz w:val="28"/>
                <w:szCs w:val="28"/>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7" w:line="360" w:lineRule="auto"/>
              <w:ind w:left="11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4.二维</w:t>
            </w:r>
            <w:r>
              <w:rPr>
                <w:rFonts w:hint="eastAsia" w:ascii="仿宋" w:hAnsi="仿宋" w:eastAsia="仿宋" w:cs="仿宋"/>
                <w:snapToGrid w:val="0"/>
                <w:color w:val="000000" w:themeColor="text1"/>
                <w:sz w:val="28"/>
                <w:szCs w:val="28"/>
              </w:rPr>
              <w:t>工作台的装配</w:t>
            </w:r>
          </w:p>
        </w:tc>
        <w:tc>
          <w:tcPr>
            <w:tcW w:w="866" w:type="dxa"/>
          </w:tcPr>
          <w:p>
            <w:pPr>
              <w:spacing w:before="102"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4" w:line="360" w:lineRule="auto"/>
              <w:ind w:left="118"/>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5</w:t>
            </w:r>
            <w:r>
              <w:rPr>
                <w:rFonts w:hint="eastAsia" w:ascii="仿宋" w:hAnsi="仿宋" w:eastAsia="仿宋" w:cs="仿宋"/>
                <w:snapToGrid w:val="0"/>
                <w:color w:val="000000" w:themeColor="text1"/>
                <w:spacing w:val="-1"/>
                <w:sz w:val="28"/>
                <w:szCs w:val="28"/>
              </w:rPr>
              <w:t>.轴承游隙测量</w:t>
            </w:r>
          </w:p>
        </w:tc>
        <w:tc>
          <w:tcPr>
            <w:tcW w:w="866" w:type="dxa"/>
          </w:tcPr>
          <w:p>
            <w:pPr>
              <w:spacing w:before="100"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770" w:type="dxa"/>
            <w:vMerge w:val="continue"/>
            <w:tcBorders>
              <w:top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32" w:line="360" w:lineRule="auto"/>
              <w:ind w:left="115" w:right="289"/>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6.中滑板、</w:t>
            </w:r>
            <w:r>
              <w:rPr>
                <w:rFonts w:hint="eastAsia" w:ascii="仿宋" w:hAnsi="仿宋" w:eastAsia="仿宋" w:cs="仿宋"/>
                <w:snapToGrid w:val="0"/>
                <w:color w:val="000000" w:themeColor="text1"/>
                <w:sz w:val="28"/>
                <w:szCs w:val="28"/>
              </w:rPr>
              <w:t>上滑板与螺母支座之间的间隙测量及</w:t>
            </w:r>
            <w:r>
              <w:rPr>
                <w:rFonts w:hint="eastAsia" w:ascii="仿宋" w:hAnsi="仿宋" w:eastAsia="仿宋" w:cs="仿宋"/>
                <w:snapToGrid w:val="0"/>
                <w:color w:val="000000" w:themeColor="text1"/>
                <w:spacing w:val="-2"/>
                <w:sz w:val="28"/>
                <w:szCs w:val="28"/>
              </w:rPr>
              <w:t>调整</w:t>
            </w:r>
          </w:p>
        </w:tc>
        <w:tc>
          <w:tcPr>
            <w:tcW w:w="866" w:type="dxa"/>
          </w:tcPr>
          <w:p>
            <w:pPr>
              <w:spacing w:before="203"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jc w:val="center"/>
        </w:trPr>
        <w:tc>
          <w:tcPr>
            <w:tcW w:w="1770" w:type="dxa"/>
            <w:vMerge w:val="restart"/>
            <w:tcBorders>
              <w:bottom w:val="nil"/>
            </w:tcBorders>
          </w:tcPr>
          <w:p>
            <w:pPr>
              <w:spacing w:line="360" w:lineRule="auto"/>
              <w:rPr>
                <w:rFonts w:hint="eastAsia" w:ascii="仿宋" w:hAnsi="仿宋" w:eastAsia="仿宋" w:cs="仿宋"/>
                <w:snapToGrid w:val="0"/>
                <w:color w:val="000000" w:themeColor="text1"/>
                <w:sz w:val="28"/>
                <w:szCs w:val="28"/>
              </w:rPr>
            </w:pPr>
          </w:p>
          <w:p>
            <w:pPr>
              <w:spacing w:before="68" w:line="360" w:lineRule="auto"/>
              <w:ind w:left="17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3"/>
                <w:sz w:val="28"/>
                <w:szCs w:val="28"/>
              </w:rPr>
              <w:t>间歇回转工作台</w:t>
            </w:r>
          </w:p>
          <w:p>
            <w:pPr>
              <w:spacing w:before="24" w:line="360" w:lineRule="auto"/>
              <w:ind w:left="158"/>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与自</w:t>
            </w:r>
            <w:r>
              <w:rPr>
                <w:rFonts w:hint="eastAsia" w:ascii="仿宋" w:hAnsi="仿宋" w:eastAsia="仿宋" w:cs="仿宋"/>
                <w:snapToGrid w:val="0"/>
                <w:color w:val="000000" w:themeColor="text1"/>
                <w:spacing w:val="-1"/>
                <w:sz w:val="28"/>
                <w:szCs w:val="28"/>
              </w:rPr>
              <w:t>动冲床机构</w:t>
            </w:r>
          </w:p>
          <w:p>
            <w:pPr>
              <w:spacing w:before="21" w:line="360" w:lineRule="auto"/>
              <w:ind w:left="47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分度转盘</w:t>
            </w:r>
          </w:p>
        </w:tc>
        <w:tc>
          <w:tcPr>
            <w:tcW w:w="707" w:type="dxa"/>
            <w:vMerge w:val="restart"/>
            <w:tcBorders>
              <w:bottom w:val="nil"/>
            </w:tcBorders>
          </w:tcPr>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before="69" w:line="360" w:lineRule="auto"/>
              <w:ind w:left="267"/>
              <w:rPr>
                <w:rFonts w:hint="eastAsia" w:ascii="仿宋" w:hAnsi="仿宋" w:eastAsia="仿宋" w:cs="仿宋"/>
                <w:snapToGrid w:val="0"/>
                <w:color w:val="000000" w:themeColor="text1"/>
                <w:sz w:val="28"/>
                <w:szCs w:val="28"/>
                <w:lang w:eastAsia="zh-CN"/>
              </w:rPr>
            </w:pPr>
            <w:r>
              <w:rPr>
                <w:rFonts w:hint="eastAsia" w:ascii="仿宋" w:hAnsi="仿宋" w:eastAsia="仿宋" w:cs="仿宋"/>
                <w:snapToGrid w:val="0"/>
                <w:color w:val="000000" w:themeColor="text1"/>
                <w:spacing w:val="-7"/>
                <w:sz w:val="28"/>
                <w:szCs w:val="28"/>
                <w:lang w:val="en-US" w:eastAsia="zh-CN"/>
              </w:rPr>
              <w:t>8</w:t>
            </w:r>
          </w:p>
        </w:tc>
        <w:tc>
          <w:tcPr>
            <w:tcW w:w="4815" w:type="dxa"/>
          </w:tcPr>
          <w:p>
            <w:pPr>
              <w:spacing w:before="66" w:line="360" w:lineRule="auto"/>
              <w:ind w:left="129"/>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1.调整蜗杆的轴向窜</w:t>
            </w:r>
            <w:r>
              <w:rPr>
                <w:rFonts w:hint="eastAsia" w:ascii="仿宋" w:hAnsi="仿宋" w:eastAsia="仿宋" w:cs="仿宋"/>
                <w:snapToGrid w:val="0"/>
                <w:color w:val="000000" w:themeColor="text1"/>
                <w:spacing w:val="-1"/>
                <w:sz w:val="28"/>
                <w:szCs w:val="28"/>
              </w:rPr>
              <w:t>动</w:t>
            </w:r>
          </w:p>
        </w:tc>
        <w:tc>
          <w:tcPr>
            <w:tcW w:w="866" w:type="dxa"/>
          </w:tcPr>
          <w:p>
            <w:pPr>
              <w:spacing w:before="101"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5" w:line="360" w:lineRule="auto"/>
              <w:ind w:left="116"/>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2.调整法兰</w:t>
            </w:r>
            <w:r>
              <w:rPr>
                <w:rFonts w:hint="eastAsia" w:ascii="仿宋" w:hAnsi="仿宋" w:eastAsia="仿宋" w:cs="仿宋"/>
                <w:snapToGrid w:val="0"/>
                <w:color w:val="000000" w:themeColor="text1"/>
                <w:sz w:val="28"/>
                <w:szCs w:val="28"/>
              </w:rPr>
              <w:t>盘与推力球轴承内圈的同轴度</w:t>
            </w:r>
          </w:p>
        </w:tc>
        <w:tc>
          <w:tcPr>
            <w:tcW w:w="866" w:type="dxa"/>
          </w:tcPr>
          <w:p>
            <w:pPr>
              <w:spacing w:before="100"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32" w:line="360" w:lineRule="auto"/>
              <w:ind w:left="113" w:right="289" w:firstLine="4"/>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3.调整法兰盘上表</w:t>
            </w:r>
            <w:r>
              <w:rPr>
                <w:rFonts w:hint="eastAsia" w:ascii="仿宋" w:hAnsi="仿宋" w:eastAsia="仿宋" w:cs="仿宋"/>
                <w:snapToGrid w:val="0"/>
                <w:color w:val="000000" w:themeColor="text1"/>
                <w:sz w:val="28"/>
                <w:szCs w:val="28"/>
              </w:rPr>
              <w:t>面低于推力球轴承的上表面并</w:t>
            </w:r>
            <w:r>
              <w:rPr>
                <w:rFonts w:hint="eastAsia" w:ascii="仿宋" w:hAnsi="仿宋" w:eastAsia="仿宋" w:cs="仿宋"/>
                <w:snapToGrid w:val="0"/>
                <w:color w:val="000000" w:themeColor="text1"/>
                <w:spacing w:val="-2"/>
                <w:sz w:val="28"/>
                <w:szCs w:val="28"/>
              </w:rPr>
              <w:t>检</w:t>
            </w:r>
            <w:r>
              <w:rPr>
                <w:rFonts w:hint="eastAsia" w:ascii="仿宋" w:hAnsi="仿宋" w:eastAsia="仿宋" w:cs="仿宋"/>
                <w:snapToGrid w:val="0"/>
                <w:color w:val="000000" w:themeColor="text1"/>
                <w:spacing w:val="-1"/>
                <w:sz w:val="28"/>
                <w:szCs w:val="28"/>
              </w:rPr>
              <w:t>测</w:t>
            </w:r>
          </w:p>
        </w:tc>
        <w:tc>
          <w:tcPr>
            <w:tcW w:w="866" w:type="dxa"/>
          </w:tcPr>
          <w:p>
            <w:pPr>
              <w:spacing w:before="204"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1770" w:type="dxa"/>
            <w:vMerge w:val="continue"/>
            <w:tcBorders>
              <w:top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6" w:line="360" w:lineRule="auto"/>
              <w:ind w:left="11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0"/>
                <w:sz w:val="28"/>
                <w:szCs w:val="28"/>
              </w:rPr>
              <w:t>4</w:t>
            </w:r>
            <w:r>
              <w:rPr>
                <w:rFonts w:hint="eastAsia" w:ascii="仿宋" w:hAnsi="仿宋" w:eastAsia="仿宋" w:cs="仿宋"/>
                <w:snapToGrid w:val="0"/>
                <w:color w:val="000000" w:themeColor="text1"/>
                <w:spacing w:val="-8"/>
                <w:sz w:val="28"/>
                <w:szCs w:val="28"/>
              </w:rPr>
              <w:t>.</w:t>
            </w:r>
            <w:r>
              <w:rPr>
                <w:rFonts w:hint="eastAsia" w:ascii="仿宋" w:hAnsi="仿宋" w:eastAsia="仿宋" w:cs="仿宋"/>
                <w:snapToGrid w:val="0"/>
                <w:color w:val="000000" w:themeColor="text1"/>
                <w:spacing w:val="-5"/>
                <w:sz w:val="28"/>
                <w:szCs w:val="28"/>
              </w:rPr>
              <w:t>装配调试后，传动平稳，没有卡阻现象</w:t>
            </w:r>
          </w:p>
        </w:tc>
        <w:tc>
          <w:tcPr>
            <w:tcW w:w="866" w:type="dxa"/>
          </w:tcPr>
          <w:p>
            <w:pPr>
              <w:spacing w:before="101"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1770" w:type="dxa"/>
            <w:vMerge w:val="restart"/>
            <w:tcBorders>
              <w:bottom w:val="nil"/>
            </w:tcBorders>
          </w:tcPr>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before="69" w:line="360" w:lineRule="auto"/>
              <w:ind w:left="15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机械设备</w:t>
            </w:r>
            <w:r>
              <w:rPr>
                <w:rFonts w:hint="eastAsia" w:ascii="仿宋" w:hAnsi="仿宋" w:eastAsia="仿宋" w:cs="仿宋"/>
                <w:snapToGrid w:val="0"/>
                <w:color w:val="000000" w:themeColor="text1"/>
                <w:sz w:val="28"/>
                <w:szCs w:val="28"/>
              </w:rPr>
              <w:t>的装配</w:t>
            </w:r>
          </w:p>
          <w:p>
            <w:pPr>
              <w:spacing w:before="23" w:line="360" w:lineRule="auto"/>
              <w:ind w:left="158"/>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与调</w:t>
            </w:r>
            <w:r>
              <w:rPr>
                <w:rFonts w:hint="eastAsia" w:ascii="仿宋" w:hAnsi="仿宋" w:eastAsia="仿宋" w:cs="仿宋"/>
                <w:snapToGrid w:val="0"/>
                <w:color w:val="000000" w:themeColor="text1"/>
                <w:spacing w:val="-1"/>
                <w:sz w:val="28"/>
                <w:szCs w:val="28"/>
              </w:rPr>
              <w:t>整、安全试</w:t>
            </w:r>
          </w:p>
          <w:p>
            <w:pPr>
              <w:spacing w:before="17" w:line="360" w:lineRule="auto"/>
              <w:ind w:left="787"/>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车</w:t>
            </w:r>
          </w:p>
        </w:tc>
        <w:tc>
          <w:tcPr>
            <w:tcW w:w="707" w:type="dxa"/>
            <w:vMerge w:val="restart"/>
            <w:tcBorders>
              <w:bottom w:val="nil"/>
            </w:tcBorders>
          </w:tcPr>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before="68" w:line="360" w:lineRule="auto"/>
              <w:ind w:left="267"/>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7"/>
                <w:sz w:val="28"/>
                <w:szCs w:val="28"/>
              </w:rPr>
              <w:t>1</w:t>
            </w:r>
            <w:r>
              <w:rPr>
                <w:rFonts w:hint="eastAsia" w:ascii="仿宋" w:hAnsi="仿宋" w:eastAsia="仿宋" w:cs="仿宋"/>
                <w:snapToGrid w:val="0"/>
                <w:color w:val="000000" w:themeColor="text1"/>
                <w:spacing w:val="-5"/>
                <w:sz w:val="28"/>
                <w:szCs w:val="28"/>
              </w:rPr>
              <w:t>0</w:t>
            </w:r>
          </w:p>
        </w:tc>
        <w:tc>
          <w:tcPr>
            <w:tcW w:w="4815" w:type="dxa"/>
          </w:tcPr>
          <w:p>
            <w:pPr>
              <w:spacing w:before="66" w:line="360" w:lineRule="auto"/>
              <w:ind w:left="129"/>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1.</w:t>
            </w:r>
            <w:r>
              <w:rPr>
                <w:rFonts w:hint="eastAsia" w:ascii="仿宋" w:hAnsi="仿宋" w:eastAsia="仿宋" w:cs="仿宋"/>
                <w:snapToGrid w:val="0"/>
                <w:color w:val="000000" w:themeColor="text1"/>
                <w:spacing w:val="-1"/>
                <w:sz w:val="28"/>
                <w:szCs w:val="28"/>
              </w:rPr>
              <w:t>调整冲头端面与料盘上表面的间隙</w:t>
            </w:r>
          </w:p>
        </w:tc>
        <w:tc>
          <w:tcPr>
            <w:tcW w:w="866" w:type="dxa"/>
          </w:tcPr>
          <w:p>
            <w:pPr>
              <w:spacing w:before="100" w:line="360" w:lineRule="auto"/>
              <w:ind w:left="40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32" w:line="360" w:lineRule="auto"/>
              <w:ind w:left="129" w:right="289" w:hanging="1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2"/>
                <w:sz w:val="28"/>
                <w:szCs w:val="28"/>
              </w:rPr>
              <w:t>2</w:t>
            </w:r>
            <w:r>
              <w:rPr>
                <w:rFonts w:hint="eastAsia" w:ascii="仿宋" w:hAnsi="仿宋" w:eastAsia="仿宋" w:cs="仿宋"/>
                <w:snapToGrid w:val="0"/>
                <w:color w:val="000000" w:themeColor="text1"/>
                <w:spacing w:val="13"/>
                <w:sz w:val="28"/>
                <w:szCs w:val="28"/>
              </w:rPr>
              <w:t>.测量减速器中齿轮(一)与齿轮(二)的齿侧</w:t>
            </w:r>
            <w:r>
              <w:rPr>
                <w:rFonts w:hint="eastAsia" w:ascii="仿宋" w:hAnsi="仿宋" w:eastAsia="仿宋" w:cs="仿宋"/>
                <w:snapToGrid w:val="0"/>
                <w:color w:val="000000" w:themeColor="text1"/>
                <w:spacing w:val="-7"/>
                <w:sz w:val="28"/>
                <w:szCs w:val="28"/>
              </w:rPr>
              <w:t>间</w:t>
            </w:r>
            <w:r>
              <w:rPr>
                <w:rFonts w:hint="eastAsia" w:ascii="仿宋" w:hAnsi="仿宋" w:eastAsia="仿宋" w:cs="仿宋"/>
                <w:snapToGrid w:val="0"/>
                <w:color w:val="000000" w:themeColor="text1"/>
                <w:spacing w:val="-5"/>
                <w:sz w:val="28"/>
                <w:szCs w:val="28"/>
              </w:rPr>
              <w:t>隙</w:t>
            </w:r>
          </w:p>
        </w:tc>
        <w:tc>
          <w:tcPr>
            <w:tcW w:w="866" w:type="dxa"/>
          </w:tcPr>
          <w:p>
            <w:pPr>
              <w:spacing w:before="205"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7" w:line="360" w:lineRule="auto"/>
              <w:ind w:left="118"/>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8"/>
                <w:sz w:val="28"/>
                <w:szCs w:val="28"/>
              </w:rPr>
              <w:t>3</w:t>
            </w:r>
            <w:r>
              <w:rPr>
                <w:rFonts w:hint="eastAsia" w:ascii="仿宋" w:hAnsi="仿宋" w:eastAsia="仿宋" w:cs="仿宋"/>
                <w:snapToGrid w:val="0"/>
                <w:color w:val="000000" w:themeColor="text1"/>
                <w:spacing w:val="-5"/>
                <w:sz w:val="28"/>
                <w:szCs w:val="28"/>
              </w:rPr>
              <w:t>.检测变速箱花键导向轴与导轨1的平行度</w:t>
            </w:r>
          </w:p>
        </w:tc>
        <w:tc>
          <w:tcPr>
            <w:tcW w:w="866" w:type="dxa"/>
          </w:tcPr>
          <w:p>
            <w:pPr>
              <w:spacing w:before="103" w:line="360" w:lineRule="auto"/>
              <w:ind w:left="392"/>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34" w:line="360" w:lineRule="auto"/>
              <w:ind w:left="114" w:right="498" w:hanging="1"/>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4.</w:t>
            </w:r>
            <w:r>
              <w:rPr>
                <w:rFonts w:hint="eastAsia" w:ascii="仿宋" w:hAnsi="仿宋" w:eastAsia="仿宋" w:cs="仿宋"/>
                <w:snapToGrid w:val="0"/>
                <w:color w:val="000000" w:themeColor="text1"/>
                <w:sz w:val="28"/>
                <w:szCs w:val="28"/>
              </w:rPr>
              <w:t>检测同步带之间的共面、检测链轮之间的共</w:t>
            </w:r>
            <w:r>
              <w:rPr>
                <w:rFonts w:hint="eastAsia" w:ascii="仿宋" w:hAnsi="仿宋" w:eastAsia="仿宋" w:cs="仿宋"/>
                <w:snapToGrid w:val="0"/>
                <w:color w:val="000000" w:themeColor="text1"/>
                <w:spacing w:val="-1"/>
                <w:sz w:val="28"/>
                <w:szCs w:val="28"/>
              </w:rPr>
              <w:t>面、检测齿轮</w:t>
            </w:r>
            <w:r>
              <w:rPr>
                <w:rFonts w:hint="eastAsia" w:ascii="仿宋" w:hAnsi="仿宋" w:eastAsia="仿宋" w:cs="仿宋"/>
                <w:snapToGrid w:val="0"/>
                <w:color w:val="000000" w:themeColor="text1"/>
                <w:sz w:val="28"/>
                <w:szCs w:val="28"/>
              </w:rPr>
              <w:t>之间的错位量</w:t>
            </w:r>
          </w:p>
        </w:tc>
        <w:tc>
          <w:tcPr>
            <w:tcW w:w="866" w:type="dxa"/>
          </w:tcPr>
          <w:p>
            <w:pPr>
              <w:spacing w:before="204" w:line="360" w:lineRule="auto"/>
              <w:ind w:left="39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jc w:val="center"/>
        </w:trPr>
        <w:tc>
          <w:tcPr>
            <w:tcW w:w="1770"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bottom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8" w:line="360" w:lineRule="auto"/>
              <w:ind w:left="118"/>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5.装配完整性及</w:t>
            </w:r>
            <w:r>
              <w:rPr>
                <w:rFonts w:hint="eastAsia" w:ascii="仿宋" w:hAnsi="仿宋" w:eastAsia="仿宋" w:cs="仿宋"/>
                <w:snapToGrid w:val="0"/>
                <w:color w:val="000000" w:themeColor="text1"/>
                <w:sz w:val="28"/>
                <w:szCs w:val="28"/>
              </w:rPr>
              <w:t>试车前的盘车检查</w:t>
            </w:r>
          </w:p>
        </w:tc>
        <w:tc>
          <w:tcPr>
            <w:tcW w:w="866" w:type="dxa"/>
          </w:tcPr>
          <w:p>
            <w:pPr>
              <w:spacing w:before="103" w:line="360" w:lineRule="auto"/>
              <w:ind w:left="40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1770" w:type="dxa"/>
            <w:vMerge w:val="continue"/>
            <w:tcBorders>
              <w:top w:val="nil"/>
            </w:tcBorders>
          </w:tcPr>
          <w:p>
            <w:pPr>
              <w:spacing w:line="360" w:lineRule="auto"/>
              <w:rPr>
                <w:rFonts w:hint="eastAsia" w:ascii="仿宋" w:hAnsi="仿宋" w:eastAsia="仿宋" w:cs="仿宋"/>
                <w:snapToGrid w:val="0"/>
                <w:color w:val="000000" w:themeColor="text1"/>
                <w:sz w:val="28"/>
                <w:szCs w:val="28"/>
              </w:rPr>
            </w:pPr>
          </w:p>
        </w:tc>
        <w:tc>
          <w:tcPr>
            <w:tcW w:w="707" w:type="dxa"/>
            <w:vMerge w:val="continue"/>
            <w:tcBorders>
              <w:top w:val="nil"/>
            </w:tcBorders>
          </w:tcPr>
          <w:p>
            <w:pPr>
              <w:spacing w:line="360" w:lineRule="auto"/>
              <w:rPr>
                <w:rFonts w:hint="eastAsia" w:ascii="仿宋" w:hAnsi="仿宋" w:eastAsia="仿宋" w:cs="仿宋"/>
                <w:snapToGrid w:val="0"/>
                <w:color w:val="000000" w:themeColor="text1"/>
                <w:sz w:val="28"/>
                <w:szCs w:val="28"/>
              </w:rPr>
            </w:pPr>
          </w:p>
        </w:tc>
        <w:tc>
          <w:tcPr>
            <w:tcW w:w="4815" w:type="dxa"/>
          </w:tcPr>
          <w:p>
            <w:pPr>
              <w:spacing w:before="68" w:line="360" w:lineRule="auto"/>
              <w:ind w:left="115"/>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6.试车前</w:t>
            </w:r>
            <w:r>
              <w:rPr>
                <w:rFonts w:hint="eastAsia" w:ascii="仿宋" w:hAnsi="仿宋" w:eastAsia="仿宋" w:cs="仿宋"/>
                <w:snapToGrid w:val="0"/>
                <w:color w:val="000000" w:themeColor="text1"/>
                <w:sz w:val="28"/>
                <w:szCs w:val="28"/>
              </w:rPr>
              <w:t>润滑工作、传动的完整性、平稳性检查</w:t>
            </w:r>
          </w:p>
        </w:tc>
        <w:tc>
          <w:tcPr>
            <w:tcW w:w="866" w:type="dxa"/>
          </w:tcPr>
          <w:p>
            <w:pPr>
              <w:spacing w:before="102" w:line="360" w:lineRule="auto"/>
              <w:ind w:left="40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jc w:val="center"/>
        </w:trPr>
        <w:tc>
          <w:tcPr>
            <w:tcW w:w="1770" w:type="dxa"/>
          </w:tcPr>
          <w:p>
            <w:pPr>
              <w:spacing w:line="360" w:lineRule="auto"/>
              <w:rPr>
                <w:rFonts w:hint="eastAsia" w:ascii="仿宋" w:hAnsi="仿宋" w:eastAsia="仿宋" w:cs="仿宋"/>
                <w:snapToGrid w:val="0"/>
                <w:color w:val="000000" w:themeColor="text1"/>
                <w:sz w:val="28"/>
                <w:szCs w:val="28"/>
              </w:rPr>
            </w:pPr>
          </w:p>
          <w:p>
            <w:pPr>
              <w:spacing w:before="68" w:line="360" w:lineRule="auto"/>
              <w:ind w:left="156" w:right="145"/>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4"/>
                <w:sz w:val="28"/>
                <w:szCs w:val="28"/>
              </w:rPr>
              <w:t>准备工作、职业</w:t>
            </w:r>
            <w:r>
              <w:rPr>
                <w:rFonts w:hint="eastAsia" w:ascii="仿宋" w:hAnsi="仿宋" w:eastAsia="仿宋" w:cs="仿宋"/>
                <w:snapToGrid w:val="0"/>
                <w:color w:val="000000" w:themeColor="text1"/>
                <w:spacing w:val="-2"/>
                <w:sz w:val="28"/>
                <w:szCs w:val="28"/>
              </w:rPr>
              <w:t>素</w:t>
            </w:r>
            <w:r>
              <w:rPr>
                <w:rFonts w:hint="eastAsia" w:ascii="仿宋" w:hAnsi="仿宋" w:eastAsia="仿宋" w:cs="仿宋"/>
                <w:snapToGrid w:val="0"/>
                <w:color w:val="000000" w:themeColor="text1"/>
                <w:spacing w:val="-1"/>
                <w:sz w:val="28"/>
                <w:szCs w:val="28"/>
              </w:rPr>
              <w:t>养和安全文明</w:t>
            </w:r>
          </w:p>
        </w:tc>
        <w:tc>
          <w:tcPr>
            <w:tcW w:w="707" w:type="dxa"/>
          </w:tcPr>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before="69" w:line="360" w:lineRule="auto"/>
              <w:ind w:left="309"/>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5</w:t>
            </w:r>
          </w:p>
        </w:tc>
        <w:tc>
          <w:tcPr>
            <w:tcW w:w="4815" w:type="dxa"/>
          </w:tcPr>
          <w:p>
            <w:pPr>
              <w:spacing w:before="195" w:line="360" w:lineRule="auto"/>
              <w:ind w:left="114" w:right="290" w:firstLine="4"/>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8"/>
                <w:sz w:val="28"/>
                <w:szCs w:val="28"/>
              </w:rPr>
              <w:t>劳</w:t>
            </w:r>
            <w:r>
              <w:rPr>
                <w:rFonts w:hint="eastAsia" w:ascii="仿宋" w:hAnsi="仿宋" w:eastAsia="仿宋" w:cs="仿宋"/>
                <w:snapToGrid w:val="0"/>
                <w:color w:val="000000" w:themeColor="text1"/>
                <w:spacing w:val="7"/>
                <w:sz w:val="28"/>
                <w:szCs w:val="28"/>
              </w:rPr>
              <w:t>保</w:t>
            </w:r>
            <w:r>
              <w:rPr>
                <w:rFonts w:hint="eastAsia" w:ascii="仿宋" w:hAnsi="仿宋" w:eastAsia="仿宋" w:cs="仿宋"/>
                <w:snapToGrid w:val="0"/>
                <w:color w:val="000000" w:themeColor="text1"/>
                <w:spacing w:val="4"/>
                <w:sz w:val="28"/>
                <w:szCs w:val="28"/>
              </w:rPr>
              <w:t>用品穿戴齐全(工作服、工作鞋)台面整理</w:t>
            </w:r>
            <w:r>
              <w:rPr>
                <w:rFonts w:hint="eastAsia" w:ascii="仿宋" w:hAnsi="仿宋" w:eastAsia="仿宋" w:cs="仿宋"/>
                <w:snapToGrid w:val="0"/>
                <w:color w:val="000000" w:themeColor="text1"/>
                <w:spacing w:val="-1"/>
                <w:sz w:val="28"/>
                <w:szCs w:val="28"/>
              </w:rPr>
              <w:t>整洁、工具、</w:t>
            </w:r>
            <w:r>
              <w:rPr>
                <w:rFonts w:hint="eastAsia" w:ascii="仿宋" w:hAnsi="仿宋" w:eastAsia="仿宋" w:cs="仿宋"/>
                <w:snapToGrid w:val="0"/>
                <w:color w:val="000000" w:themeColor="text1"/>
                <w:sz w:val="28"/>
                <w:szCs w:val="28"/>
              </w:rPr>
              <w:t>量具摆放整齐，分类明确，具体操</w:t>
            </w:r>
            <w:r>
              <w:rPr>
                <w:rFonts w:hint="eastAsia" w:ascii="仿宋" w:hAnsi="仿宋" w:eastAsia="仿宋" w:cs="仿宋"/>
                <w:snapToGrid w:val="0"/>
                <w:color w:val="000000" w:themeColor="text1"/>
                <w:spacing w:val="-2"/>
                <w:sz w:val="28"/>
                <w:szCs w:val="28"/>
              </w:rPr>
              <w:t>作均符合安全操作规程</w:t>
            </w:r>
            <w:r>
              <w:rPr>
                <w:rFonts w:hint="eastAsia" w:ascii="仿宋" w:hAnsi="仿宋" w:eastAsia="仿宋" w:cs="仿宋"/>
                <w:snapToGrid w:val="0"/>
                <w:color w:val="000000" w:themeColor="text1"/>
                <w:spacing w:val="-1"/>
                <w:sz w:val="28"/>
                <w:szCs w:val="28"/>
              </w:rPr>
              <w:t>。</w:t>
            </w:r>
          </w:p>
          <w:p>
            <w:pPr>
              <w:spacing w:line="360" w:lineRule="auto"/>
              <w:ind w:left="115"/>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0"/>
                <w:sz w:val="28"/>
                <w:szCs w:val="28"/>
              </w:rPr>
              <w:t>完成全部任务每提前10分钟总分加1分</w:t>
            </w:r>
            <w:r>
              <w:rPr>
                <w:rFonts w:hint="eastAsia" w:ascii="仿宋" w:hAnsi="仿宋" w:eastAsia="仿宋" w:cs="仿宋"/>
                <w:snapToGrid w:val="0"/>
                <w:color w:val="000000" w:themeColor="text1"/>
                <w:spacing w:val="-8"/>
                <w:sz w:val="28"/>
                <w:szCs w:val="28"/>
              </w:rPr>
              <w:t>。</w:t>
            </w:r>
          </w:p>
        </w:tc>
        <w:tc>
          <w:tcPr>
            <w:tcW w:w="866" w:type="dxa"/>
          </w:tcPr>
          <w:p>
            <w:pPr>
              <w:spacing w:line="360" w:lineRule="auto"/>
              <w:rPr>
                <w:rFonts w:hint="eastAsia" w:ascii="仿宋" w:hAnsi="仿宋" w:eastAsia="仿宋" w:cs="仿宋"/>
                <w:snapToGrid w:val="0"/>
                <w:color w:val="000000" w:themeColor="text1"/>
                <w:sz w:val="28"/>
                <w:szCs w:val="28"/>
              </w:rPr>
            </w:pPr>
          </w:p>
          <w:p>
            <w:pPr>
              <w:spacing w:line="360" w:lineRule="auto"/>
              <w:rPr>
                <w:rFonts w:hint="eastAsia" w:ascii="仿宋" w:hAnsi="仿宋" w:eastAsia="仿宋" w:cs="仿宋"/>
                <w:snapToGrid w:val="0"/>
                <w:color w:val="000000" w:themeColor="text1"/>
                <w:sz w:val="28"/>
                <w:szCs w:val="28"/>
              </w:rPr>
            </w:pPr>
          </w:p>
          <w:p>
            <w:pPr>
              <w:spacing w:before="69" w:line="360" w:lineRule="auto"/>
              <w:ind w:left="392"/>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z w:val="28"/>
                <w:szCs w:val="28"/>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9" w:hRule="atLeast"/>
          <w:jc w:val="center"/>
        </w:trPr>
        <w:tc>
          <w:tcPr>
            <w:tcW w:w="1770" w:type="dxa"/>
          </w:tcPr>
          <w:p>
            <w:pPr>
              <w:spacing w:before="308" w:line="360" w:lineRule="auto"/>
              <w:ind w:left="261" w:right="145" w:hanging="107"/>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装配钳工技</w:t>
            </w:r>
            <w:r>
              <w:rPr>
                <w:rFonts w:hint="eastAsia" w:ascii="仿宋" w:hAnsi="仿宋" w:eastAsia="仿宋" w:cs="仿宋"/>
                <w:snapToGrid w:val="0"/>
                <w:color w:val="000000" w:themeColor="text1"/>
                <w:sz w:val="28"/>
                <w:szCs w:val="28"/>
              </w:rPr>
              <w:t>术知</w:t>
            </w:r>
            <w:r>
              <w:rPr>
                <w:rFonts w:hint="eastAsia" w:ascii="仿宋" w:hAnsi="仿宋" w:eastAsia="仿宋" w:cs="仿宋"/>
                <w:snapToGrid w:val="0"/>
                <w:color w:val="000000" w:themeColor="text1"/>
                <w:spacing w:val="-2"/>
                <w:sz w:val="28"/>
                <w:szCs w:val="28"/>
              </w:rPr>
              <w:t>识</w:t>
            </w:r>
            <w:r>
              <w:rPr>
                <w:rFonts w:hint="eastAsia" w:ascii="仿宋" w:hAnsi="仿宋" w:eastAsia="仿宋" w:cs="仿宋"/>
                <w:snapToGrid w:val="0"/>
                <w:color w:val="000000" w:themeColor="text1"/>
                <w:spacing w:val="-1"/>
                <w:sz w:val="28"/>
                <w:szCs w:val="28"/>
              </w:rPr>
              <w:t>考核及绘图</w:t>
            </w:r>
          </w:p>
        </w:tc>
        <w:tc>
          <w:tcPr>
            <w:tcW w:w="707" w:type="dxa"/>
          </w:tcPr>
          <w:p>
            <w:pPr>
              <w:spacing w:line="360" w:lineRule="auto"/>
              <w:rPr>
                <w:rFonts w:hint="eastAsia" w:ascii="仿宋" w:hAnsi="仿宋" w:eastAsia="仿宋" w:cs="仿宋"/>
                <w:snapToGrid w:val="0"/>
                <w:color w:val="000000" w:themeColor="text1"/>
                <w:sz w:val="28"/>
                <w:szCs w:val="28"/>
              </w:rPr>
            </w:pPr>
          </w:p>
          <w:p>
            <w:pPr>
              <w:spacing w:before="68" w:line="360" w:lineRule="auto"/>
              <w:ind w:left="267"/>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2"/>
                <w:sz w:val="28"/>
                <w:szCs w:val="28"/>
              </w:rPr>
              <w:t>1</w:t>
            </w:r>
            <w:r>
              <w:rPr>
                <w:rFonts w:hint="eastAsia" w:ascii="仿宋" w:hAnsi="仿宋" w:eastAsia="仿宋" w:cs="仿宋"/>
                <w:snapToGrid w:val="0"/>
                <w:color w:val="000000" w:themeColor="text1"/>
                <w:spacing w:val="-11"/>
                <w:sz w:val="28"/>
                <w:szCs w:val="28"/>
              </w:rPr>
              <w:t>5</w:t>
            </w:r>
          </w:p>
        </w:tc>
        <w:tc>
          <w:tcPr>
            <w:tcW w:w="4815" w:type="dxa"/>
          </w:tcPr>
          <w:p>
            <w:pPr>
              <w:spacing w:before="34" w:line="360" w:lineRule="auto"/>
              <w:ind w:left="129"/>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2"/>
                <w:sz w:val="28"/>
                <w:szCs w:val="28"/>
              </w:rPr>
              <w:t>1.根</w:t>
            </w:r>
            <w:r>
              <w:rPr>
                <w:rFonts w:hint="eastAsia" w:ascii="仿宋" w:hAnsi="仿宋" w:eastAsia="仿宋" w:cs="仿宋"/>
                <w:snapToGrid w:val="0"/>
                <w:color w:val="000000" w:themeColor="text1"/>
                <w:spacing w:val="-1"/>
                <w:sz w:val="28"/>
                <w:szCs w:val="28"/>
              </w:rPr>
              <w:t>据相关理论知识解答卷面试题</w:t>
            </w:r>
          </w:p>
          <w:p>
            <w:pPr>
              <w:spacing w:line="360" w:lineRule="auto"/>
              <w:ind w:left="116"/>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2.按要求绘制</w:t>
            </w:r>
            <w:r>
              <w:rPr>
                <w:rFonts w:hint="eastAsia" w:ascii="仿宋" w:hAnsi="仿宋" w:eastAsia="仿宋" w:cs="仿宋"/>
                <w:snapToGrid w:val="0"/>
                <w:color w:val="000000" w:themeColor="text1"/>
                <w:sz w:val="28"/>
                <w:szCs w:val="28"/>
              </w:rPr>
              <w:t>图框及标题栏</w:t>
            </w:r>
          </w:p>
          <w:p>
            <w:pPr>
              <w:spacing w:line="360" w:lineRule="auto"/>
              <w:ind w:left="118"/>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2"/>
                <w:sz w:val="28"/>
                <w:szCs w:val="28"/>
              </w:rPr>
              <w:t>3.</w:t>
            </w:r>
            <w:r>
              <w:rPr>
                <w:rFonts w:hint="eastAsia" w:ascii="仿宋" w:hAnsi="仿宋" w:eastAsia="仿宋" w:cs="仿宋"/>
                <w:snapToGrid w:val="0"/>
                <w:color w:val="000000" w:themeColor="text1"/>
                <w:spacing w:val="-8"/>
                <w:sz w:val="28"/>
                <w:szCs w:val="28"/>
              </w:rPr>
              <w:t>按</w:t>
            </w:r>
            <w:r>
              <w:rPr>
                <w:rFonts w:hint="eastAsia" w:ascii="仿宋" w:hAnsi="仿宋" w:eastAsia="仿宋" w:cs="仿宋"/>
                <w:snapToGrid w:val="0"/>
                <w:color w:val="000000" w:themeColor="text1"/>
                <w:spacing w:val="-6"/>
                <w:sz w:val="28"/>
                <w:szCs w:val="28"/>
              </w:rPr>
              <w:t>1：2比例测绘零件三视图</w:t>
            </w:r>
          </w:p>
          <w:p>
            <w:pPr>
              <w:spacing w:line="360" w:lineRule="auto"/>
              <w:ind w:left="113"/>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
                <w:sz w:val="28"/>
                <w:szCs w:val="28"/>
              </w:rPr>
              <w:t>4.完</w:t>
            </w:r>
            <w:r>
              <w:rPr>
                <w:rFonts w:hint="eastAsia" w:ascii="仿宋" w:hAnsi="仿宋" w:eastAsia="仿宋" w:cs="仿宋"/>
                <w:snapToGrid w:val="0"/>
                <w:color w:val="000000" w:themeColor="text1"/>
                <w:sz w:val="28"/>
                <w:szCs w:val="28"/>
              </w:rPr>
              <w:t>成相关尺寸标注及技术要求的注写</w:t>
            </w:r>
          </w:p>
        </w:tc>
        <w:tc>
          <w:tcPr>
            <w:tcW w:w="866" w:type="dxa"/>
          </w:tcPr>
          <w:p>
            <w:pPr>
              <w:spacing w:line="360" w:lineRule="auto"/>
              <w:rPr>
                <w:rFonts w:hint="eastAsia" w:ascii="仿宋" w:hAnsi="仿宋" w:eastAsia="仿宋" w:cs="仿宋"/>
                <w:snapToGrid w:val="0"/>
                <w:color w:val="000000" w:themeColor="text1"/>
                <w:sz w:val="28"/>
                <w:szCs w:val="28"/>
              </w:rPr>
            </w:pPr>
          </w:p>
          <w:p>
            <w:pPr>
              <w:spacing w:before="68" w:line="360" w:lineRule="auto"/>
              <w:ind w:left="350"/>
              <w:rPr>
                <w:rFonts w:hint="eastAsia" w:ascii="仿宋" w:hAnsi="仿宋" w:eastAsia="仿宋" w:cs="仿宋"/>
                <w:snapToGrid w:val="0"/>
                <w:color w:val="000000" w:themeColor="text1"/>
                <w:sz w:val="28"/>
                <w:szCs w:val="28"/>
              </w:rPr>
            </w:pPr>
            <w:r>
              <w:rPr>
                <w:rFonts w:hint="eastAsia" w:ascii="仿宋" w:hAnsi="仿宋" w:eastAsia="仿宋" w:cs="仿宋"/>
                <w:snapToGrid w:val="0"/>
                <w:color w:val="000000" w:themeColor="text1"/>
                <w:spacing w:val="-12"/>
                <w:sz w:val="28"/>
                <w:szCs w:val="28"/>
              </w:rPr>
              <w:t>1</w:t>
            </w:r>
            <w:r>
              <w:rPr>
                <w:rFonts w:hint="eastAsia" w:ascii="仿宋" w:hAnsi="仿宋" w:eastAsia="仿宋" w:cs="仿宋"/>
                <w:snapToGrid w:val="0"/>
                <w:color w:val="000000" w:themeColor="text1"/>
                <w:spacing w:val="-11"/>
                <w:sz w:val="28"/>
                <w:szCs w:val="28"/>
              </w:rPr>
              <w:t>5</w:t>
            </w:r>
          </w:p>
        </w:tc>
      </w:tr>
    </w:tbl>
    <w:p>
      <w:pPr>
        <w:spacing w:before="163" w:line="360" w:lineRule="auto"/>
        <w:ind w:left="513"/>
        <w:rPr>
          <w:rFonts w:hint="eastAsia" w:ascii="仿宋" w:hAnsi="仿宋" w:eastAsia="仿宋" w:cs="仿宋"/>
          <w:color w:val="000000" w:themeColor="text1"/>
          <w:sz w:val="28"/>
          <w:szCs w:val="28"/>
        </w:rPr>
      </w:pPr>
      <w:r>
        <w:rPr>
          <w:rFonts w:hint="eastAsia" w:ascii="仿宋" w:hAnsi="仿宋" w:eastAsia="仿宋" w:cs="仿宋"/>
          <w:color w:val="000000" w:themeColor="text1"/>
          <w:spacing w:val="-9"/>
          <w:sz w:val="28"/>
          <w:szCs w:val="28"/>
        </w:rPr>
        <w:t>备</w:t>
      </w:r>
      <w:r>
        <w:rPr>
          <w:rFonts w:hint="eastAsia" w:ascii="仿宋" w:hAnsi="仿宋" w:eastAsia="仿宋" w:cs="仿宋"/>
          <w:color w:val="000000" w:themeColor="text1"/>
          <w:spacing w:val="-6"/>
          <w:sz w:val="28"/>
          <w:szCs w:val="28"/>
        </w:rPr>
        <w:t>注：实际配分及评分以试卷配分为标准</w:t>
      </w:r>
    </w:p>
    <w:p>
      <w:pPr>
        <w:spacing w:line="360" w:lineRule="auto"/>
        <w:ind w:firstLine="548" w:firstLineChars="196"/>
        <w:rPr>
          <w:rFonts w:hint="eastAsia" w:ascii="仿宋" w:hAnsi="仿宋" w:eastAsia="仿宋" w:cs="仿宋"/>
          <w:bCs/>
          <w:color w:val="000000" w:themeColor="text1"/>
          <w:sz w:val="28"/>
          <w:szCs w:val="28"/>
        </w:rPr>
      </w:pPr>
      <w:r>
        <w:rPr>
          <w:rFonts w:hint="eastAsia" w:ascii="仿宋" w:hAnsi="仿宋" w:eastAsia="仿宋" w:cs="仿宋"/>
          <w:bCs/>
          <w:color w:val="000000" w:themeColor="text1"/>
          <w:sz w:val="28"/>
          <w:szCs w:val="28"/>
        </w:rPr>
        <w:t>（三）评分方法</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1.参赛选手的成绩评定由赛项执委会和总裁判长负责。</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2.现场裁判对检测数据、操作行为进行记录，予以评判；依据现场打分表，对参赛队员的操作规范、现场表现等进行评分。评分结果由裁判签字确认。</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参赛选手根据赛项任务书的要求进行操作，根据注意操作要求，需要记录的内容要记录在比赛试题中，需要裁判确认的内容必须经过裁判员的签字确认，否则不得分，评价项目主要有工量具的规范使用、装配工艺、装配质量等。</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3.文明生产评价为扣分项包括工作态度、安全意识、职业规范、环境保护等方面。</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4.扣违规分情况</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选手有下列情形，需从参赛成绩中扣分：</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(1)在完成竞赛任务的过程中，因操作不当导致事故，扣10～20分，情况严重者取消比赛资格。</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(2)因违规操作损坏赛场提供的设备，污染赛场环境等不符合职业规范的行为，视情节扣5～10分。</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(3)扰乱赛场秩序，干扰裁判员工作，视情节扣5～10分，情况严重者取消比赛资格。</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5.赛项裁判组本着“公平、公正、公开、科学、规范、透明、无异议”的原则，根据裁判的现场记录、参赛队选手的赛项任务书及评分标准，通过多方面进行综合评价，最终按总评分得分高低，确定参赛队奖项归属。</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6.按比赛成绩从高到低排列参赛队的名次。比赛成绩相同，完成竞赛任务所用时间少的名次在前；比赛成绩和完成竞赛任务用时均相同，按职业素养成绩较高的名次在前；比赛成绩、完成竞赛任务用时、职业素养成绩相同，名次并列。</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7.评分方式结合国家技能大赛的方式，以小组为单位，裁判相互监督，对检测、评分结果进行一查、二审、三复核。确保评分环节准确、公正。</w:t>
      </w:r>
    </w:p>
    <w:p>
      <w:pPr>
        <w:snapToGrid w:val="0"/>
        <w:spacing w:line="360" w:lineRule="auto"/>
        <w:ind w:firstLine="560" w:firstLineChars="200"/>
        <w:jc w:val="left"/>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8.赛项最终得分按100分制计分。(装配钳工理论考核15分,实操任务考核80分，职业素养5分)。</w:t>
      </w:r>
    </w:p>
    <w:p>
      <w:pPr>
        <w:spacing w:line="360" w:lineRule="auto"/>
        <w:ind w:firstLine="551" w:firstLineChars="196"/>
        <w:rPr>
          <w:rFonts w:hint="eastAsia" w:ascii="仿宋" w:hAnsi="仿宋" w:eastAsia="仿宋" w:cs="仿宋"/>
          <w:b/>
          <w:color w:val="000000" w:themeColor="text1"/>
          <w:sz w:val="28"/>
          <w:szCs w:val="28"/>
        </w:rPr>
      </w:pPr>
      <w:r>
        <w:rPr>
          <w:rFonts w:hint="eastAsia" w:ascii="仿宋" w:hAnsi="仿宋" w:eastAsia="仿宋" w:cs="仿宋"/>
          <w:b/>
          <w:color w:val="000000" w:themeColor="text1"/>
          <w:sz w:val="28"/>
          <w:szCs w:val="28"/>
          <w:lang w:val="en-US" w:eastAsia="zh-CN"/>
        </w:rPr>
        <w:t>九</w:t>
      </w:r>
      <w:r>
        <w:rPr>
          <w:rFonts w:hint="eastAsia" w:ascii="仿宋" w:hAnsi="仿宋" w:eastAsia="仿宋" w:cs="仿宋"/>
          <w:b/>
          <w:color w:val="000000" w:themeColor="text1"/>
          <w:sz w:val="28"/>
          <w:szCs w:val="28"/>
        </w:rPr>
        <w:t>、奖项设定</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以赛项实际参赛选手总数为基数，一、二、三等奖获奖比例分别为1</w:t>
      </w:r>
      <w:r>
        <w:rPr>
          <w:rFonts w:hint="eastAsia" w:ascii="仿宋" w:hAnsi="仿宋" w:eastAsia="仿宋" w:cs="仿宋"/>
          <w:color w:val="000000" w:themeColor="text1"/>
          <w:sz w:val="28"/>
          <w:szCs w:val="28"/>
          <w:lang w:val="en-US" w:eastAsia="zh-CN"/>
        </w:rPr>
        <w:t>5</w:t>
      </w:r>
      <w:r>
        <w:rPr>
          <w:rFonts w:hint="eastAsia" w:ascii="仿宋" w:hAnsi="仿宋" w:eastAsia="仿宋" w:cs="仿宋"/>
          <w:color w:val="000000" w:themeColor="text1"/>
          <w:sz w:val="28"/>
          <w:szCs w:val="28"/>
        </w:rPr>
        <w:t>%、2</w:t>
      </w:r>
      <w:r>
        <w:rPr>
          <w:rFonts w:hint="eastAsia" w:ascii="仿宋" w:hAnsi="仿宋" w:eastAsia="仿宋" w:cs="仿宋"/>
          <w:color w:val="000000" w:themeColor="text1"/>
          <w:sz w:val="28"/>
          <w:szCs w:val="28"/>
          <w:lang w:val="en-US" w:eastAsia="zh-CN"/>
        </w:rPr>
        <w:t>5</w:t>
      </w:r>
      <w:r>
        <w:rPr>
          <w:rFonts w:hint="eastAsia" w:ascii="仿宋" w:hAnsi="仿宋" w:eastAsia="仿宋" w:cs="仿宋"/>
          <w:color w:val="000000" w:themeColor="text1"/>
          <w:sz w:val="28"/>
          <w:szCs w:val="28"/>
        </w:rPr>
        <w:t>%、3</w:t>
      </w:r>
      <w:r>
        <w:rPr>
          <w:rFonts w:hint="eastAsia" w:ascii="仿宋" w:hAnsi="仿宋" w:eastAsia="仿宋" w:cs="仿宋"/>
          <w:color w:val="000000" w:themeColor="text1"/>
          <w:sz w:val="28"/>
          <w:szCs w:val="28"/>
          <w:lang w:val="en-US" w:eastAsia="zh-CN"/>
        </w:rPr>
        <w:t>5</w:t>
      </w:r>
      <w:r>
        <w:rPr>
          <w:rFonts w:hint="eastAsia" w:ascii="仿宋" w:hAnsi="仿宋" w:eastAsia="仿宋" w:cs="仿宋"/>
          <w:color w:val="000000" w:themeColor="text1"/>
          <w:sz w:val="28"/>
          <w:szCs w:val="28"/>
        </w:rPr>
        <w:t>%（小数点后四舍五入）。</w:t>
      </w:r>
    </w:p>
    <w:p>
      <w:pPr>
        <w:spacing w:line="360" w:lineRule="auto"/>
        <w:ind w:firstLine="560" w:firstLineChars="200"/>
        <w:rPr>
          <w:rFonts w:hint="eastAsia" w:ascii="仿宋" w:hAnsi="仿宋" w:eastAsia="仿宋" w:cs="仿宋"/>
          <w:color w:val="000000" w:themeColor="text1"/>
          <w:sz w:val="28"/>
          <w:szCs w:val="28"/>
        </w:rPr>
      </w:pPr>
      <w:r>
        <w:rPr>
          <w:rFonts w:hint="eastAsia" w:ascii="仿宋" w:hAnsi="仿宋" w:eastAsia="仿宋" w:cs="仿宋"/>
          <w:color w:val="000000" w:themeColor="text1"/>
          <w:sz w:val="28"/>
          <w:szCs w:val="28"/>
        </w:rPr>
        <w:t>获得一等奖的参赛队指导教师由组委会颁发优秀指导教师证书。</w:t>
      </w:r>
    </w:p>
    <w:p>
      <w:pPr>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十、申诉与仲裁</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各参赛队对不符合赛项规程规定的仪器、设备、工装、材料、物件、计算机软硬件、竞赛使用工具、用品，竞赛执裁、赛场管理、竞赛成绩，以及工作人员的不规范行为等，可向赛项仲裁组提出申诉，申诉主体为参赛队领队。</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2.申诉启动时，参赛队向赛项仲裁组递交领队亲笔签字同意的书面报告。书面报告应对申诉事件的现象、发生时间、涉及人员、申诉依据等进行充分、实事求是的叙述。非书面申诉不予受理。</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3.提出申诉的时间应在比赛结束后(选手赛场比赛内容全部完成)2 小时内。超过时效不予受理。</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4.赛项仲裁组在接到申诉报告后的 2 小时内组织复议，并及时将复议结果以书面形式告知申诉方。申诉方对复议结果仍有异议，可由领队向比赛监督员提出申诉，由监督员传达最终仲裁结果。</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5.申诉方不得以任何理由拒绝接收仲裁结果，不得以任何理由采取过激行为扰乱赛场秩序。仲裁结果由申诉人签收，不能代收，如在约定时间和地点申诉人离开，视为自行放弃申诉。</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6.申诉方可随时提出放弃申诉。</w:t>
      </w:r>
    </w:p>
    <w:p>
      <w:pPr>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十</w:t>
      </w:r>
      <w:r>
        <w:rPr>
          <w:rFonts w:hint="eastAsia" w:ascii="仿宋" w:hAnsi="仿宋" w:eastAsia="仿宋" w:cs="仿宋"/>
          <w:b/>
          <w:kern w:val="0"/>
          <w:sz w:val="28"/>
          <w:szCs w:val="28"/>
          <w:lang w:val="en-US" w:eastAsia="zh-CN"/>
        </w:rPr>
        <w:t>一</w:t>
      </w:r>
      <w:r>
        <w:rPr>
          <w:rFonts w:hint="eastAsia" w:ascii="仿宋" w:hAnsi="仿宋" w:eastAsia="仿宋" w:cs="仿宋"/>
          <w:b/>
          <w:kern w:val="0"/>
          <w:sz w:val="28"/>
          <w:szCs w:val="28"/>
        </w:rPr>
        <w:t>、赛项安全</w:t>
      </w:r>
    </w:p>
    <w:p>
      <w:pPr>
        <w:spacing w:line="360" w:lineRule="auto"/>
        <w:ind w:firstLine="560" w:firstLineChars="200"/>
        <w:rPr>
          <w:rFonts w:hint="eastAsia" w:ascii="仿宋" w:hAnsi="仿宋" w:eastAsia="仿宋" w:cs="仿宋"/>
          <w:color w:val="000000"/>
          <w:kern w:val="0"/>
          <w:sz w:val="28"/>
          <w:szCs w:val="28"/>
          <w:lang w:bidi="ar"/>
        </w:rPr>
      </w:pPr>
      <w:bookmarkStart w:id="2" w:name="_Toc47743548"/>
      <w:r>
        <w:rPr>
          <w:rFonts w:hint="eastAsia" w:ascii="仿宋" w:hAnsi="仿宋" w:eastAsia="仿宋" w:cs="仿宋"/>
          <w:color w:val="000000"/>
          <w:kern w:val="0"/>
          <w:sz w:val="28"/>
          <w:szCs w:val="28"/>
          <w:lang w:bidi="ar"/>
        </w:rPr>
        <w:t>1.</w:t>
      </w:r>
      <w:bookmarkEnd w:id="2"/>
      <w:bookmarkStart w:id="3" w:name="_Toc47743549"/>
      <w:r>
        <w:rPr>
          <w:rFonts w:hint="eastAsia" w:ascii="仿宋" w:hAnsi="仿宋" w:eastAsia="仿宋" w:cs="仿宋"/>
          <w:color w:val="000000"/>
          <w:kern w:val="0"/>
          <w:sz w:val="28"/>
          <w:szCs w:val="28"/>
          <w:lang w:bidi="ar"/>
        </w:rPr>
        <w:t>选手安全防护措施要求</w:t>
      </w:r>
      <w:bookmarkEnd w:id="3"/>
    </w:p>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参赛选手必须按照规定穿戴防护装备，见下表：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69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防护项目</w:t>
            </w:r>
          </w:p>
        </w:tc>
        <w:tc>
          <w:tcPr>
            <w:tcW w:w="2693"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图示</w:t>
            </w:r>
          </w:p>
        </w:tc>
        <w:tc>
          <w:tcPr>
            <w:tcW w:w="4111"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1668"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眼睛的防护</w:t>
            </w:r>
          </w:p>
        </w:tc>
        <w:tc>
          <w:tcPr>
            <w:tcW w:w="2693"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0288" behindDoc="0" locked="0" layoutInCell="1" allowOverlap="1">
                  <wp:simplePos x="0" y="0"/>
                  <wp:positionH relativeFrom="column">
                    <wp:posOffset>439420</wp:posOffset>
                  </wp:positionH>
                  <wp:positionV relativeFrom="paragraph">
                    <wp:posOffset>108585</wp:posOffset>
                  </wp:positionV>
                  <wp:extent cx="806450" cy="483235"/>
                  <wp:effectExtent l="0" t="0" r="6350" b="12065"/>
                  <wp:wrapSquare wrapText="bothSides"/>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6"/>
                          <a:stretch>
                            <a:fillRect/>
                          </a:stretch>
                        </pic:blipFill>
                        <pic:spPr>
                          <a:xfrm>
                            <a:off x="0" y="0"/>
                            <a:ext cx="806450" cy="483235"/>
                          </a:xfrm>
                          <a:prstGeom prst="rect">
                            <a:avLst/>
                          </a:prstGeom>
                          <a:noFill/>
                          <a:ln>
                            <a:noFill/>
                          </a:ln>
                        </pic:spPr>
                      </pic:pic>
                    </a:graphicData>
                  </a:graphic>
                </wp:anchor>
              </w:drawing>
            </w:r>
          </w:p>
        </w:tc>
        <w:tc>
          <w:tcPr>
            <w:tcW w:w="4111"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1.防溅入</w:t>
            </w:r>
          </w:p>
          <w:p>
            <w:pPr>
              <w:spacing w:line="360" w:lineRule="auto"/>
              <w:rPr>
                <w:rFonts w:hint="eastAsia" w:ascii="仿宋" w:hAnsi="仿宋" w:eastAsia="仿宋" w:cs="仿宋"/>
                <w:sz w:val="28"/>
                <w:szCs w:val="28"/>
              </w:rPr>
            </w:pPr>
            <w:r>
              <w:rPr>
                <w:rFonts w:hint="eastAsia" w:ascii="仿宋" w:hAnsi="仿宋" w:eastAsia="仿宋" w:cs="仿宋"/>
                <w:sz w:val="28"/>
                <w:szCs w:val="28"/>
              </w:rPr>
              <w:t>2.带近视镜也必须佩戴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668"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足部的防护</w:t>
            </w:r>
          </w:p>
        </w:tc>
        <w:tc>
          <w:tcPr>
            <w:tcW w:w="2693"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1312" behindDoc="0" locked="0" layoutInCell="1" allowOverlap="1">
                  <wp:simplePos x="0" y="0"/>
                  <wp:positionH relativeFrom="column">
                    <wp:posOffset>572135</wp:posOffset>
                  </wp:positionH>
                  <wp:positionV relativeFrom="paragraph">
                    <wp:posOffset>74295</wp:posOffset>
                  </wp:positionV>
                  <wp:extent cx="603250" cy="448945"/>
                  <wp:effectExtent l="0" t="0" r="6350" b="8255"/>
                  <wp:wrapSquare wrapText="bothSides"/>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7"/>
                          <a:stretch>
                            <a:fillRect/>
                          </a:stretch>
                        </pic:blipFill>
                        <pic:spPr>
                          <a:xfrm>
                            <a:off x="0" y="0"/>
                            <a:ext cx="603250" cy="448945"/>
                          </a:xfrm>
                          <a:prstGeom prst="rect">
                            <a:avLst/>
                          </a:prstGeom>
                          <a:noFill/>
                          <a:ln>
                            <a:noFill/>
                          </a:ln>
                        </pic:spPr>
                      </pic:pic>
                    </a:graphicData>
                  </a:graphic>
                </wp:anchor>
              </w:drawing>
            </w:r>
          </w:p>
        </w:tc>
        <w:tc>
          <w:tcPr>
            <w:tcW w:w="4111"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防滑、防砸、防穿刺、绝缘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1668"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工作服</w:t>
            </w:r>
          </w:p>
        </w:tc>
        <w:tc>
          <w:tcPr>
            <w:tcW w:w="2693"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59264" behindDoc="0" locked="0" layoutInCell="1" allowOverlap="1">
                  <wp:simplePos x="0" y="0"/>
                  <wp:positionH relativeFrom="column">
                    <wp:posOffset>393065</wp:posOffset>
                  </wp:positionH>
                  <wp:positionV relativeFrom="paragraph">
                    <wp:posOffset>144145</wp:posOffset>
                  </wp:positionV>
                  <wp:extent cx="673735" cy="751205"/>
                  <wp:effectExtent l="0" t="0" r="12065" b="10795"/>
                  <wp:wrapSquare wrapText="bothSides"/>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8"/>
                          <a:stretch>
                            <a:fillRect/>
                          </a:stretch>
                        </pic:blipFill>
                        <pic:spPr>
                          <a:xfrm>
                            <a:off x="0" y="0"/>
                            <a:ext cx="673735" cy="751205"/>
                          </a:xfrm>
                          <a:prstGeom prst="rect">
                            <a:avLst/>
                          </a:prstGeom>
                          <a:noFill/>
                          <a:ln>
                            <a:noFill/>
                          </a:ln>
                        </pic:spPr>
                      </pic:pic>
                    </a:graphicData>
                  </a:graphic>
                </wp:anchor>
              </w:drawing>
            </w:r>
          </w:p>
        </w:tc>
        <w:tc>
          <w:tcPr>
            <w:tcW w:w="4111"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1、必须是长裤</w:t>
            </w:r>
          </w:p>
          <w:p>
            <w:pPr>
              <w:spacing w:line="360" w:lineRule="auto"/>
              <w:rPr>
                <w:rFonts w:hint="eastAsia" w:ascii="仿宋" w:hAnsi="仿宋" w:eastAsia="仿宋" w:cs="仿宋"/>
                <w:sz w:val="28"/>
                <w:szCs w:val="28"/>
              </w:rPr>
            </w:pPr>
            <w:r>
              <w:rPr>
                <w:rFonts w:hint="eastAsia" w:ascii="仿宋" w:hAnsi="仿宋" w:eastAsia="仿宋" w:cs="仿宋"/>
                <w:sz w:val="28"/>
                <w:szCs w:val="28"/>
              </w:rPr>
              <w:t>2、防护服必须合身不松垮，要达到紧领口、紧袖口、紧下摆的要求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3、女生必须带工作帽、长发不得外露</w:t>
            </w:r>
          </w:p>
          <w:p>
            <w:pPr>
              <w:spacing w:line="360" w:lineRule="auto"/>
              <w:rPr>
                <w:rFonts w:hint="eastAsia" w:ascii="仿宋" w:hAnsi="仿宋" w:eastAsia="仿宋" w:cs="仿宋"/>
                <w:sz w:val="28"/>
                <w:szCs w:val="28"/>
              </w:rPr>
            </w:pPr>
            <w:r>
              <w:rPr>
                <w:rFonts w:hint="eastAsia" w:ascii="仿宋" w:hAnsi="仿宋" w:eastAsia="仿宋" w:cs="仿宋"/>
                <w:sz w:val="28"/>
                <w:szCs w:val="28"/>
              </w:rPr>
              <w:t>4、操作机床时不允许戴手套</w:t>
            </w:r>
          </w:p>
        </w:tc>
      </w:tr>
    </w:tbl>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全</w:t>
      </w:r>
      <w:r>
        <w:rPr>
          <w:rFonts w:hint="eastAsia" w:ascii="仿宋" w:hAnsi="仿宋" w:eastAsia="仿宋" w:cs="仿宋"/>
          <w:color w:val="000000"/>
          <w:kern w:val="0"/>
          <w:sz w:val="28"/>
          <w:szCs w:val="28"/>
          <w:lang w:val="en-US" w:eastAsia="zh-CN" w:bidi="ar"/>
        </w:rPr>
        <w:t>市</w:t>
      </w:r>
      <w:r>
        <w:rPr>
          <w:rFonts w:hint="eastAsia" w:ascii="仿宋" w:hAnsi="仿宋" w:eastAsia="仿宋" w:cs="仿宋"/>
          <w:color w:val="000000"/>
          <w:kern w:val="0"/>
          <w:sz w:val="28"/>
          <w:szCs w:val="28"/>
          <w:lang w:bidi="ar"/>
        </w:rPr>
        <w:t>选拔赛时，裁判员对违反安全与健康条例、违反操作规程的选手和现象将提出警告并进行纠正。不听警告，不进行纠正的参赛选手将罚去安全分、停止加工或取消本场次竞赛资格等不同程度的惩罚。</w:t>
      </w:r>
    </w:p>
    <w:p>
      <w:pPr>
        <w:spacing w:line="360" w:lineRule="auto"/>
        <w:ind w:firstLine="560" w:firstLineChars="200"/>
        <w:rPr>
          <w:rFonts w:hint="eastAsia" w:ascii="仿宋" w:hAnsi="仿宋" w:eastAsia="仿宋" w:cs="仿宋"/>
          <w:color w:val="000000"/>
          <w:kern w:val="0"/>
          <w:sz w:val="28"/>
          <w:szCs w:val="28"/>
          <w:lang w:bidi="ar"/>
        </w:rPr>
      </w:pPr>
      <w:bookmarkStart w:id="4" w:name="_Toc47743550"/>
      <w:r>
        <w:rPr>
          <w:rFonts w:hint="eastAsia" w:ascii="仿宋" w:hAnsi="仿宋" w:eastAsia="仿宋" w:cs="仿宋"/>
          <w:color w:val="000000"/>
          <w:kern w:val="0"/>
          <w:sz w:val="28"/>
          <w:szCs w:val="28"/>
          <w:lang w:bidi="ar"/>
        </w:rPr>
        <w:t>2.有毒有害物品的管理和限制</w:t>
      </w:r>
      <w:bookmarkEnd w:id="4"/>
    </w:p>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选手禁止携带易燃易爆物品，见下表所示：</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472"/>
        <w:gridCol w:w="1473"/>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有害物品</w:t>
            </w:r>
          </w:p>
        </w:tc>
        <w:tc>
          <w:tcPr>
            <w:tcW w:w="2945" w:type="dxa"/>
            <w:gridSpan w:val="2"/>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图示</w:t>
            </w:r>
          </w:p>
        </w:tc>
        <w:tc>
          <w:tcPr>
            <w:tcW w:w="2945" w:type="dxa"/>
            <w:noWrap w:val="0"/>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2093"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防锈清洗剂</w:t>
            </w:r>
          </w:p>
        </w:tc>
        <w:tc>
          <w:tcPr>
            <w:tcW w:w="2945" w:type="dxa"/>
            <w:gridSpan w:val="2"/>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2336" behindDoc="0" locked="0" layoutInCell="1" allowOverlap="1">
                  <wp:simplePos x="0" y="0"/>
                  <wp:positionH relativeFrom="column">
                    <wp:posOffset>413385</wp:posOffset>
                  </wp:positionH>
                  <wp:positionV relativeFrom="paragraph">
                    <wp:posOffset>85090</wp:posOffset>
                  </wp:positionV>
                  <wp:extent cx="596265" cy="596265"/>
                  <wp:effectExtent l="0" t="0" r="635" b="635"/>
                  <wp:wrapSquare wrapText="bothSides"/>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9"/>
                          <a:stretch>
                            <a:fillRect/>
                          </a:stretch>
                        </pic:blipFill>
                        <pic:spPr>
                          <a:xfrm>
                            <a:off x="0" y="0"/>
                            <a:ext cx="596265" cy="596265"/>
                          </a:xfrm>
                          <a:prstGeom prst="rect">
                            <a:avLst/>
                          </a:prstGeom>
                          <a:noFill/>
                          <a:ln>
                            <a:noFill/>
                          </a:ln>
                        </pic:spPr>
                      </pic:pic>
                    </a:graphicData>
                  </a:graphic>
                </wp:anchor>
              </w:drawing>
            </w:r>
          </w:p>
        </w:tc>
        <w:tc>
          <w:tcPr>
            <w:tcW w:w="2945"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8480" behindDoc="0" locked="0" layoutInCell="1" allowOverlap="1">
                  <wp:simplePos x="0" y="0"/>
                  <wp:positionH relativeFrom="column">
                    <wp:posOffset>1148715</wp:posOffset>
                  </wp:positionH>
                  <wp:positionV relativeFrom="paragraph">
                    <wp:posOffset>174625</wp:posOffset>
                  </wp:positionV>
                  <wp:extent cx="371475" cy="350520"/>
                  <wp:effectExtent l="0" t="0" r="9525" b="5080"/>
                  <wp:wrapSquare wrapText="bothSides"/>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0"/>
                          <a:stretch>
                            <a:fillRect/>
                          </a:stretch>
                        </pic:blipFill>
                        <pic:spPr>
                          <a:xfrm>
                            <a:off x="0" y="0"/>
                            <a:ext cx="371475" cy="350520"/>
                          </a:xfrm>
                          <a:prstGeom prst="rect">
                            <a:avLst/>
                          </a:prstGeom>
                          <a:noFill/>
                          <a:ln>
                            <a:noFill/>
                          </a:ln>
                        </pic:spPr>
                      </pic:pic>
                    </a:graphicData>
                  </a:graphic>
                </wp:anchor>
              </w:drawing>
            </w:r>
            <w:r>
              <w:rPr>
                <w:rFonts w:hint="eastAsia" w:ascii="仿宋" w:hAnsi="仿宋" w:eastAsia="仿宋" w:cs="仿宋"/>
                <w:sz w:val="28"/>
                <w:szCs w:val="28"/>
              </w:rPr>
              <w:t xml:space="preserve">禁止携带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2093"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酒精、汽油</w:t>
            </w:r>
          </w:p>
        </w:tc>
        <w:tc>
          <w:tcPr>
            <w:tcW w:w="1472"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5408" behindDoc="0" locked="0" layoutInCell="1" allowOverlap="1">
                  <wp:simplePos x="0" y="0"/>
                  <wp:positionH relativeFrom="column">
                    <wp:posOffset>243840</wp:posOffset>
                  </wp:positionH>
                  <wp:positionV relativeFrom="paragraph">
                    <wp:posOffset>69850</wp:posOffset>
                  </wp:positionV>
                  <wp:extent cx="459740" cy="459740"/>
                  <wp:effectExtent l="0" t="0" r="10160" b="10160"/>
                  <wp:wrapNone/>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459740" cy="459740"/>
                          </a:xfrm>
                          <a:prstGeom prst="rect">
                            <a:avLst/>
                          </a:prstGeom>
                          <a:noFill/>
                          <a:ln>
                            <a:noFill/>
                          </a:ln>
                        </pic:spPr>
                      </pic:pic>
                    </a:graphicData>
                  </a:graphic>
                </wp:anchor>
              </w:drawing>
            </w:r>
          </w:p>
        </w:tc>
        <w:tc>
          <w:tcPr>
            <w:tcW w:w="1473" w:type="dxa"/>
            <w:noWrap w:val="0"/>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6432" behindDoc="0" locked="0" layoutInCell="1" allowOverlap="1">
                  <wp:simplePos x="0" y="0"/>
                  <wp:positionH relativeFrom="column">
                    <wp:posOffset>123825</wp:posOffset>
                  </wp:positionH>
                  <wp:positionV relativeFrom="paragraph">
                    <wp:posOffset>83820</wp:posOffset>
                  </wp:positionV>
                  <wp:extent cx="499745" cy="446405"/>
                  <wp:effectExtent l="0" t="0" r="8255" b="1079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99745" cy="446405"/>
                          </a:xfrm>
                          <a:prstGeom prst="rect">
                            <a:avLst/>
                          </a:prstGeom>
                          <a:noFill/>
                          <a:ln>
                            <a:noFill/>
                          </a:ln>
                        </pic:spPr>
                      </pic:pic>
                    </a:graphicData>
                  </a:graphic>
                </wp:anchor>
              </w:drawing>
            </w:r>
          </w:p>
        </w:tc>
        <w:tc>
          <w:tcPr>
            <w:tcW w:w="2945"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7456" behindDoc="0" locked="0" layoutInCell="1" allowOverlap="1">
                  <wp:simplePos x="0" y="0"/>
                  <wp:positionH relativeFrom="column">
                    <wp:posOffset>1101725</wp:posOffset>
                  </wp:positionH>
                  <wp:positionV relativeFrom="paragraph">
                    <wp:posOffset>101600</wp:posOffset>
                  </wp:positionV>
                  <wp:extent cx="371475" cy="350520"/>
                  <wp:effectExtent l="0" t="0" r="9525" b="5080"/>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371475" cy="350520"/>
                          </a:xfrm>
                          <a:prstGeom prst="rect">
                            <a:avLst/>
                          </a:prstGeom>
                          <a:noFill/>
                          <a:ln>
                            <a:noFill/>
                          </a:ln>
                        </pic:spPr>
                      </pic:pic>
                    </a:graphicData>
                  </a:graphic>
                </wp:anchor>
              </w:drawing>
            </w:r>
            <w:r>
              <w:rPr>
                <w:rFonts w:hint="eastAsia" w:ascii="仿宋" w:hAnsi="仿宋" w:eastAsia="仿宋" w:cs="仿宋"/>
                <w:sz w:val="28"/>
                <w:szCs w:val="28"/>
              </w:rPr>
              <w:t>严禁携带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093"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有毒有害物</w:t>
            </w:r>
          </w:p>
        </w:tc>
        <w:tc>
          <w:tcPr>
            <w:tcW w:w="2945" w:type="dxa"/>
            <w:gridSpan w:val="2"/>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3360" behindDoc="0" locked="0" layoutInCell="1" allowOverlap="1">
                  <wp:simplePos x="0" y="0"/>
                  <wp:positionH relativeFrom="column">
                    <wp:posOffset>429260</wp:posOffset>
                  </wp:positionH>
                  <wp:positionV relativeFrom="paragraph">
                    <wp:posOffset>93345</wp:posOffset>
                  </wp:positionV>
                  <wp:extent cx="775970" cy="397510"/>
                  <wp:effectExtent l="0" t="0" r="11430" b="8890"/>
                  <wp:wrapSquare wrapText="bothSides"/>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3"/>
                          <a:srcRect b="14420"/>
                          <a:stretch>
                            <a:fillRect/>
                          </a:stretch>
                        </pic:blipFill>
                        <pic:spPr>
                          <a:xfrm>
                            <a:off x="0" y="0"/>
                            <a:ext cx="775970" cy="397510"/>
                          </a:xfrm>
                          <a:prstGeom prst="rect">
                            <a:avLst/>
                          </a:prstGeom>
                          <a:noFill/>
                          <a:ln>
                            <a:noFill/>
                          </a:ln>
                        </pic:spPr>
                      </pic:pic>
                    </a:graphicData>
                  </a:graphic>
                </wp:anchor>
              </w:drawing>
            </w:r>
          </w:p>
        </w:tc>
        <w:tc>
          <w:tcPr>
            <w:tcW w:w="2945" w:type="dxa"/>
            <w:noWrap w:val="0"/>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4384" behindDoc="0" locked="0" layoutInCell="1" allowOverlap="1">
                  <wp:simplePos x="0" y="0"/>
                  <wp:positionH relativeFrom="column">
                    <wp:posOffset>1141730</wp:posOffset>
                  </wp:positionH>
                  <wp:positionV relativeFrom="paragraph">
                    <wp:posOffset>121285</wp:posOffset>
                  </wp:positionV>
                  <wp:extent cx="372110" cy="351155"/>
                  <wp:effectExtent l="0" t="0" r="8890" b="4445"/>
                  <wp:wrapSquare wrapText="bothSides"/>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0"/>
                          <a:stretch>
                            <a:fillRect/>
                          </a:stretch>
                        </pic:blipFill>
                        <pic:spPr>
                          <a:xfrm>
                            <a:off x="0" y="0"/>
                            <a:ext cx="372110" cy="351155"/>
                          </a:xfrm>
                          <a:prstGeom prst="rect">
                            <a:avLst/>
                          </a:prstGeom>
                          <a:noFill/>
                          <a:ln>
                            <a:noFill/>
                          </a:ln>
                        </pic:spPr>
                      </pic:pic>
                    </a:graphicData>
                  </a:graphic>
                </wp:anchor>
              </w:drawing>
            </w:r>
            <w:r>
              <w:rPr>
                <w:rFonts w:hint="eastAsia" w:ascii="仿宋" w:hAnsi="仿宋" w:eastAsia="仿宋" w:cs="仿宋"/>
                <w:sz w:val="28"/>
                <w:szCs w:val="28"/>
              </w:rPr>
              <w:t>严禁携带</w:t>
            </w:r>
          </w:p>
        </w:tc>
      </w:tr>
    </w:tbl>
    <w:p>
      <w:pPr>
        <w:spacing w:line="360" w:lineRule="auto"/>
        <w:rPr>
          <w:rFonts w:hint="eastAsia" w:ascii="仿宋" w:hAnsi="仿宋" w:eastAsia="仿宋" w:cs="仿宋"/>
          <w:sz w:val="28"/>
          <w:szCs w:val="28"/>
        </w:rPr>
      </w:pPr>
    </w:p>
    <w:p>
      <w:pPr>
        <w:spacing w:line="360" w:lineRule="auto"/>
        <w:ind w:firstLine="560" w:firstLineChars="200"/>
        <w:rPr>
          <w:rFonts w:hint="eastAsia" w:ascii="仿宋" w:hAnsi="仿宋" w:eastAsia="仿宋" w:cs="仿宋"/>
          <w:color w:val="000000"/>
          <w:kern w:val="0"/>
          <w:sz w:val="28"/>
          <w:szCs w:val="28"/>
          <w:lang w:bidi="ar"/>
        </w:rPr>
      </w:pPr>
      <w:bookmarkStart w:id="5" w:name="_Toc47743551"/>
      <w:r>
        <w:rPr>
          <w:rFonts w:hint="eastAsia" w:ascii="仿宋" w:hAnsi="仿宋" w:eastAsia="仿宋" w:cs="仿宋"/>
          <w:color w:val="000000"/>
          <w:kern w:val="0"/>
          <w:sz w:val="28"/>
          <w:szCs w:val="28"/>
          <w:lang w:bidi="ar"/>
        </w:rPr>
        <w:t>3.医疗设备和措施</w:t>
      </w:r>
      <w:bookmarkEnd w:id="5"/>
    </w:p>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赛场必须配备医护人员和必须的药品。</w:t>
      </w:r>
    </w:p>
    <w:p>
      <w:pPr>
        <w:snapToGrid w:val="0"/>
        <w:spacing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4.防疫安全</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bCs/>
          <w:kern w:val="0"/>
          <w:sz w:val="28"/>
          <w:szCs w:val="28"/>
        </w:rPr>
        <w:t>所有参赛相关人员必须遵守当地及赛点疫情防控工作要求，落实相关防控政策。</w:t>
      </w:r>
    </w:p>
    <w:p>
      <w:pPr>
        <w:spacing w:line="360" w:lineRule="auto"/>
        <w:ind w:firstLine="560" w:firstLineChars="200"/>
        <w:rPr>
          <w:rFonts w:hint="eastAsia" w:ascii="仿宋" w:hAnsi="仿宋" w:eastAsia="仿宋" w:cs="仿宋"/>
          <w:color w:val="000000" w:themeColor="text1"/>
          <w:sz w:val="28"/>
          <w:szCs w:val="28"/>
        </w:rPr>
      </w:pPr>
    </w:p>
    <w:sectPr>
      <w:footerReference r:id="rId3" w:type="default"/>
      <w:footerReference r:id="rId4" w:type="even"/>
      <w:pgSz w:w="11906" w:h="16838"/>
      <w:pgMar w:top="1588" w:right="1418" w:bottom="158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20</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BBC02A"/>
    <w:multiLevelType w:val="singleLevel"/>
    <w:tmpl w:val="98BBC02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IzZmIyYTQzNTA2NjQ1ZjkwZmM3MjUxYzBiYzY0ZjkifQ=="/>
  </w:docVars>
  <w:rsids>
    <w:rsidRoot w:val="00172A27"/>
    <w:rsid w:val="00021FE2"/>
    <w:rsid w:val="00023EFB"/>
    <w:rsid w:val="00055CA0"/>
    <w:rsid w:val="000631F4"/>
    <w:rsid w:val="00070312"/>
    <w:rsid w:val="00070CEE"/>
    <w:rsid w:val="00096803"/>
    <w:rsid w:val="000E06EB"/>
    <w:rsid w:val="00106DC9"/>
    <w:rsid w:val="0012027C"/>
    <w:rsid w:val="0015568F"/>
    <w:rsid w:val="00163D85"/>
    <w:rsid w:val="0017742C"/>
    <w:rsid w:val="0018739D"/>
    <w:rsid w:val="001C3D94"/>
    <w:rsid w:val="001E22EB"/>
    <w:rsid w:val="001E3F44"/>
    <w:rsid w:val="001E625A"/>
    <w:rsid w:val="002062CC"/>
    <w:rsid w:val="00210668"/>
    <w:rsid w:val="00221F46"/>
    <w:rsid w:val="002359B7"/>
    <w:rsid w:val="002449FD"/>
    <w:rsid w:val="00262CD4"/>
    <w:rsid w:val="002633DC"/>
    <w:rsid w:val="00294DAF"/>
    <w:rsid w:val="002974B5"/>
    <w:rsid w:val="002A1340"/>
    <w:rsid w:val="002A153A"/>
    <w:rsid w:val="002B676E"/>
    <w:rsid w:val="002F1C19"/>
    <w:rsid w:val="002F2C16"/>
    <w:rsid w:val="002F45F8"/>
    <w:rsid w:val="002F7EDB"/>
    <w:rsid w:val="003035A0"/>
    <w:rsid w:val="003042C0"/>
    <w:rsid w:val="0031458B"/>
    <w:rsid w:val="003214DE"/>
    <w:rsid w:val="00332944"/>
    <w:rsid w:val="00347B57"/>
    <w:rsid w:val="003514EF"/>
    <w:rsid w:val="0037233A"/>
    <w:rsid w:val="0037520E"/>
    <w:rsid w:val="00377150"/>
    <w:rsid w:val="00382365"/>
    <w:rsid w:val="003841B0"/>
    <w:rsid w:val="003A4896"/>
    <w:rsid w:val="003B0187"/>
    <w:rsid w:val="003D00F6"/>
    <w:rsid w:val="004164F8"/>
    <w:rsid w:val="00417D26"/>
    <w:rsid w:val="0042033C"/>
    <w:rsid w:val="00432B16"/>
    <w:rsid w:val="004426FA"/>
    <w:rsid w:val="00447AE0"/>
    <w:rsid w:val="0046105C"/>
    <w:rsid w:val="00485A97"/>
    <w:rsid w:val="00487957"/>
    <w:rsid w:val="004912E8"/>
    <w:rsid w:val="00497121"/>
    <w:rsid w:val="004C4BDD"/>
    <w:rsid w:val="004C59C1"/>
    <w:rsid w:val="004D5CF1"/>
    <w:rsid w:val="004F4C79"/>
    <w:rsid w:val="00504976"/>
    <w:rsid w:val="0051203C"/>
    <w:rsid w:val="00522350"/>
    <w:rsid w:val="00523465"/>
    <w:rsid w:val="00535EA4"/>
    <w:rsid w:val="00542715"/>
    <w:rsid w:val="0055297A"/>
    <w:rsid w:val="005602B8"/>
    <w:rsid w:val="00563573"/>
    <w:rsid w:val="0057537A"/>
    <w:rsid w:val="005972EB"/>
    <w:rsid w:val="005E3071"/>
    <w:rsid w:val="005E7D5B"/>
    <w:rsid w:val="00602DC3"/>
    <w:rsid w:val="00604806"/>
    <w:rsid w:val="00611CA9"/>
    <w:rsid w:val="006366B7"/>
    <w:rsid w:val="00636F61"/>
    <w:rsid w:val="006374EE"/>
    <w:rsid w:val="00640B93"/>
    <w:rsid w:val="00684117"/>
    <w:rsid w:val="006864F5"/>
    <w:rsid w:val="006A741B"/>
    <w:rsid w:val="006D53FE"/>
    <w:rsid w:val="006D5470"/>
    <w:rsid w:val="006E7F6B"/>
    <w:rsid w:val="006F08FE"/>
    <w:rsid w:val="00700D72"/>
    <w:rsid w:val="0071166A"/>
    <w:rsid w:val="00711822"/>
    <w:rsid w:val="0071281B"/>
    <w:rsid w:val="00712E71"/>
    <w:rsid w:val="00725385"/>
    <w:rsid w:val="00746D60"/>
    <w:rsid w:val="00771A54"/>
    <w:rsid w:val="00785945"/>
    <w:rsid w:val="00794876"/>
    <w:rsid w:val="007A3CC3"/>
    <w:rsid w:val="007B0C65"/>
    <w:rsid w:val="007C1770"/>
    <w:rsid w:val="007C4388"/>
    <w:rsid w:val="007E771B"/>
    <w:rsid w:val="008139C6"/>
    <w:rsid w:val="008301AF"/>
    <w:rsid w:val="00835B88"/>
    <w:rsid w:val="0085403B"/>
    <w:rsid w:val="0085637E"/>
    <w:rsid w:val="00860734"/>
    <w:rsid w:val="00863B0C"/>
    <w:rsid w:val="00863F91"/>
    <w:rsid w:val="00883A9E"/>
    <w:rsid w:val="008B3DB5"/>
    <w:rsid w:val="008B55A1"/>
    <w:rsid w:val="00902A2A"/>
    <w:rsid w:val="009031B2"/>
    <w:rsid w:val="00967787"/>
    <w:rsid w:val="0097103A"/>
    <w:rsid w:val="009A42B7"/>
    <w:rsid w:val="009B5F1D"/>
    <w:rsid w:val="00A009A1"/>
    <w:rsid w:val="00A25AF6"/>
    <w:rsid w:val="00A438C8"/>
    <w:rsid w:val="00A5149D"/>
    <w:rsid w:val="00AA1CF6"/>
    <w:rsid w:val="00AC0B19"/>
    <w:rsid w:val="00AC3A80"/>
    <w:rsid w:val="00AD7F25"/>
    <w:rsid w:val="00AF0601"/>
    <w:rsid w:val="00B1067C"/>
    <w:rsid w:val="00B42E21"/>
    <w:rsid w:val="00B51AC8"/>
    <w:rsid w:val="00B60078"/>
    <w:rsid w:val="00B74C54"/>
    <w:rsid w:val="00BB3361"/>
    <w:rsid w:val="00BC48A3"/>
    <w:rsid w:val="00BD3AE0"/>
    <w:rsid w:val="00BE42A9"/>
    <w:rsid w:val="00C010EF"/>
    <w:rsid w:val="00C05980"/>
    <w:rsid w:val="00C078D2"/>
    <w:rsid w:val="00C162EE"/>
    <w:rsid w:val="00C46C8C"/>
    <w:rsid w:val="00C92341"/>
    <w:rsid w:val="00CA62CB"/>
    <w:rsid w:val="00CB1275"/>
    <w:rsid w:val="00CD27AA"/>
    <w:rsid w:val="00CE46C3"/>
    <w:rsid w:val="00CF556B"/>
    <w:rsid w:val="00D25B60"/>
    <w:rsid w:val="00D45494"/>
    <w:rsid w:val="00D46F60"/>
    <w:rsid w:val="00D765B4"/>
    <w:rsid w:val="00DA01BA"/>
    <w:rsid w:val="00DA105B"/>
    <w:rsid w:val="00DA2FB9"/>
    <w:rsid w:val="00DB13DD"/>
    <w:rsid w:val="00DB3CBF"/>
    <w:rsid w:val="00DB65C6"/>
    <w:rsid w:val="00DB7D6E"/>
    <w:rsid w:val="00DC54CB"/>
    <w:rsid w:val="00DD11CD"/>
    <w:rsid w:val="00DD5B89"/>
    <w:rsid w:val="00E06D7B"/>
    <w:rsid w:val="00E212FE"/>
    <w:rsid w:val="00E21F17"/>
    <w:rsid w:val="00E24B28"/>
    <w:rsid w:val="00E43D73"/>
    <w:rsid w:val="00E50D5D"/>
    <w:rsid w:val="00E50D9B"/>
    <w:rsid w:val="00E56B11"/>
    <w:rsid w:val="00E57422"/>
    <w:rsid w:val="00E63E95"/>
    <w:rsid w:val="00E81D53"/>
    <w:rsid w:val="00E93BAF"/>
    <w:rsid w:val="00EB283F"/>
    <w:rsid w:val="00EC6B0F"/>
    <w:rsid w:val="00ED40BF"/>
    <w:rsid w:val="00ED4C9E"/>
    <w:rsid w:val="00F0046D"/>
    <w:rsid w:val="00F02845"/>
    <w:rsid w:val="00F02FAD"/>
    <w:rsid w:val="00F35F41"/>
    <w:rsid w:val="00F53DD8"/>
    <w:rsid w:val="00F54EB1"/>
    <w:rsid w:val="00F5789B"/>
    <w:rsid w:val="00F6440F"/>
    <w:rsid w:val="00F70FFE"/>
    <w:rsid w:val="00FA23E3"/>
    <w:rsid w:val="00FA2F1D"/>
    <w:rsid w:val="00FD0DD1"/>
    <w:rsid w:val="00FD5E6D"/>
    <w:rsid w:val="00FD6E9A"/>
    <w:rsid w:val="00FF19A4"/>
    <w:rsid w:val="00FF4AF8"/>
    <w:rsid w:val="00FF78F5"/>
    <w:rsid w:val="047160C9"/>
    <w:rsid w:val="08B01849"/>
    <w:rsid w:val="092F5D23"/>
    <w:rsid w:val="0A034F3A"/>
    <w:rsid w:val="0A3C5699"/>
    <w:rsid w:val="0DA92700"/>
    <w:rsid w:val="0F3B23BE"/>
    <w:rsid w:val="10275FCF"/>
    <w:rsid w:val="128C5E33"/>
    <w:rsid w:val="12CE0E5F"/>
    <w:rsid w:val="1472274C"/>
    <w:rsid w:val="14D36760"/>
    <w:rsid w:val="15D07380"/>
    <w:rsid w:val="18FE15E2"/>
    <w:rsid w:val="19964DC5"/>
    <w:rsid w:val="1B1C6F75"/>
    <w:rsid w:val="1DAC53F0"/>
    <w:rsid w:val="1E721936"/>
    <w:rsid w:val="1F6B5B0F"/>
    <w:rsid w:val="24A13A79"/>
    <w:rsid w:val="24F309A8"/>
    <w:rsid w:val="274A19EE"/>
    <w:rsid w:val="278349DA"/>
    <w:rsid w:val="2A932D9A"/>
    <w:rsid w:val="316A07D7"/>
    <w:rsid w:val="3255285F"/>
    <w:rsid w:val="36D80F3B"/>
    <w:rsid w:val="3BD043D2"/>
    <w:rsid w:val="3CEA6C89"/>
    <w:rsid w:val="3E045C1E"/>
    <w:rsid w:val="3E0C4997"/>
    <w:rsid w:val="41A30A2C"/>
    <w:rsid w:val="454D2B82"/>
    <w:rsid w:val="46AA239B"/>
    <w:rsid w:val="483A50BA"/>
    <w:rsid w:val="4899298E"/>
    <w:rsid w:val="49FF3ED7"/>
    <w:rsid w:val="4B327E90"/>
    <w:rsid w:val="4E0766B4"/>
    <w:rsid w:val="51BE2AC7"/>
    <w:rsid w:val="530108BD"/>
    <w:rsid w:val="62437994"/>
    <w:rsid w:val="64BF6B8C"/>
    <w:rsid w:val="66C162BD"/>
    <w:rsid w:val="67ED0A22"/>
    <w:rsid w:val="722866DC"/>
    <w:rsid w:val="788E7C8A"/>
    <w:rsid w:val="78907DD6"/>
    <w:rsid w:val="78F56E7D"/>
    <w:rsid w:val="7A1D59B0"/>
    <w:rsid w:val="7A1F4A42"/>
    <w:rsid w:val="7E361390"/>
    <w:rsid w:val="7EA34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ind w:firstLine="198"/>
      <w:outlineLvl w:val="0"/>
    </w:pPr>
    <w:rPr>
      <w:b/>
      <w:bCs/>
      <w:kern w:val="44"/>
      <w:sz w:val="44"/>
      <w:szCs w:val="44"/>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link w:val="16"/>
    <w:uiPriority w:val="99"/>
    <w:pPr>
      <w:jc w:val="left"/>
    </w:pPr>
  </w:style>
  <w:style w:type="paragraph" w:styleId="5">
    <w:name w:val="Body Text"/>
    <w:basedOn w:val="1"/>
    <w:link w:val="27"/>
    <w:qFormat/>
    <w:uiPriority w:val="0"/>
    <w:pPr>
      <w:spacing w:after="120"/>
    </w:pPr>
  </w:style>
  <w:style w:type="paragraph" w:styleId="6">
    <w:name w:val="Body Text Indent"/>
    <w:basedOn w:val="1"/>
    <w:link w:val="17"/>
    <w:uiPriority w:val="0"/>
    <w:pPr>
      <w:ind w:firstLine="640" w:firstLineChars="200"/>
    </w:pPr>
    <w:rPr>
      <w:rFonts w:ascii="仿宋_GB2312" w:eastAsia="仿宋_GB2312"/>
      <w:kern w:val="0"/>
      <w:sz w:val="32"/>
    </w:rPr>
  </w:style>
  <w:style w:type="paragraph" w:styleId="7">
    <w:name w:val="Balloon Text"/>
    <w:basedOn w:val="1"/>
    <w:link w:val="18"/>
    <w:qFormat/>
    <w:uiPriority w:val="0"/>
    <w:rPr>
      <w:sz w:val="18"/>
      <w:szCs w:val="18"/>
    </w:rPr>
  </w:style>
  <w:style w:type="paragraph" w:styleId="8">
    <w:name w:val="footer"/>
    <w:basedOn w:val="1"/>
    <w:link w:val="19"/>
    <w:qFormat/>
    <w:uiPriority w:val="0"/>
    <w:pPr>
      <w:tabs>
        <w:tab w:val="center" w:pos="4153"/>
        <w:tab w:val="right" w:pos="8306"/>
      </w:tabs>
      <w:snapToGrid w:val="0"/>
      <w:jc w:val="left"/>
    </w:pPr>
    <w:rPr>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1"/>
    <w:qFormat/>
    <w:uiPriority w:val="0"/>
    <w:rPr>
      <w:b/>
      <w:bCs/>
    </w:rPr>
  </w:style>
  <w:style w:type="table" w:styleId="12">
    <w:name w:val="Table Grid"/>
    <w:basedOn w:val="11"/>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uiPriority w:val="0"/>
  </w:style>
  <w:style w:type="character" w:styleId="15">
    <w:name w:val="annotation reference"/>
    <w:qFormat/>
    <w:uiPriority w:val="0"/>
    <w:rPr>
      <w:sz w:val="21"/>
      <w:szCs w:val="21"/>
    </w:rPr>
  </w:style>
  <w:style w:type="character" w:customStyle="1" w:styleId="16">
    <w:name w:val="批注文字 Char"/>
    <w:link w:val="4"/>
    <w:qFormat/>
    <w:uiPriority w:val="99"/>
    <w:rPr>
      <w:kern w:val="2"/>
      <w:sz w:val="21"/>
      <w:szCs w:val="24"/>
    </w:rPr>
  </w:style>
  <w:style w:type="character" w:customStyle="1" w:styleId="17">
    <w:name w:val="正文文本缩进 Char"/>
    <w:link w:val="6"/>
    <w:uiPriority w:val="0"/>
    <w:rPr>
      <w:rFonts w:ascii="仿宋_GB2312" w:eastAsia="仿宋_GB2312"/>
      <w:sz w:val="32"/>
      <w:szCs w:val="24"/>
    </w:rPr>
  </w:style>
  <w:style w:type="character" w:customStyle="1" w:styleId="18">
    <w:name w:val="批注框文本 Char"/>
    <w:link w:val="7"/>
    <w:qFormat/>
    <w:uiPriority w:val="0"/>
    <w:rPr>
      <w:kern w:val="2"/>
      <w:sz w:val="18"/>
      <w:szCs w:val="18"/>
    </w:rPr>
  </w:style>
  <w:style w:type="character" w:customStyle="1" w:styleId="19">
    <w:name w:val="页脚 Char"/>
    <w:link w:val="8"/>
    <w:qFormat/>
    <w:uiPriority w:val="0"/>
    <w:rPr>
      <w:kern w:val="2"/>
      <w:sz w:val="18"/>
      <w:szCs w:val="18"/>
    </w:rPr>
  </w:style>
  <w:style w:type="character" w:customStyle="1" w:styleId="20">
    <w:name w:val="页眉 Char"/>
    <w:link w:val="9"/>
    <w:qFormat/>
    <w:uiPriority w:val="0"/>
    <w:rPr>
      <w:kern w:val="2"/>
      <w:sz w:val="18"/>
      <w:szCs w:val="18"/>
    </w:rPr>
  </w:style>
  <w:style w:type="character" w:customStyle="1" w:styleId="21">
    <w:name w:val="批注主题 Char"/>
    <w:link w:val="10"/>
    <w:uiPriority w:val="0"/>
    <w:rPr>
      <w:b/>
      <w:bCs/>
      <w:kern w:val="2"/>
      <w:sz w:val="21"/>
      <w:szCs w:val="24"/>
    </w:rPr>
  </w:style>
  <w:style w:type="character" w:customStyle="1" w:styleId="22">
    <w:name w:val="正文文本缩进 Char1"/>
    <w:uiPriority w:val="0"/>
    <w:rPr>
      <w:kern w:val="2"/>
      <w:sz w:val="21"/>
      <w:szCs w:val="24"/>
    </w:rPr>
  </w:style>
  <w:style w:type="paragraph" w:customStyle="1" w:styleId="23">
    <w:name w:val="5-内文"/>
    <w:basedOn w:val="1"/>
    <w:qFormat/>
    <w:uiPriority w:val="0"/>
    <w:pPr>
      <w:spacing w:beforeLines="25" w:line="300" w:lineRule="auto"/>
      <w:ind w:firstLine="200" w:firstLineChars="200"/>
    </w:pPr>
    <w:rPr>
      <w:rFonts w:ascii="仿宋_GB2312" w:eastAsia="仿宋_GB2312"/>
      <w:kern w:val="0"/>
      <w:sz w:val="28"/>
      <w:szCs w:val="20"/>
    </w:rPr>
  </w:style>
  <w:style w:type="paragraph" w:customStyle="1" w:styleId="24">
    <w:name w:val="List Paragraph1"/>
    <w:basedOn w:val="1"/>
    <w:qFormat/>
    <w:uiPriority w:val="0"/>
    <w:pPr>
      <w:ind w:firstLine="420" w:firstLineChars="200"/>
    </w:pPr>
    <w:rPr>
      <w:rFonts w:ascii="Calibri" w:hAnsi="Calibri" w:cs="Calibri"/>
      <w:szCs w:val="21"/>
    </w:rPr>
  </w:style>
  <w:style w:type="paragraph" w:customStyle="1" w:styleId="25">
    <w:name w:val="列出段落2"/>
    <w:basedOn w:val="1"/>
    <w:qFormat/>
    <w:uiPriority w:val="99"/>
    <w:pPr>
      <w:ind w:firstLine="420" w:firstLineChars="200"/>
    </w:pPr>
  </w:style>
  <w:style w:type="paragraph" w:customStyle="1" w:styleId="26">
    <w:name w:val="List Paragraph"/>
    <w:basedOn w:val="1"/>
    <w:uiPriority w:val="0"/>
    <w:pPr>
      <w:ind w:firstLine="420" w:firstLineChars="200"/>
    </w:pPr>
  </w:style>
  <w:style w:type="character" w:customStyle="1" w:styleId="27">
    <w:name w:val="正文文本 Char"/>
    <w:basedOn w:val="13"/>
    <w:link w:val="5"/>
    <w:uiPriority w:val="0"/>
    <w:rPr>
      <w:kern w:val="2"/>
      <w:sz w:val="21"/>
      <w:szCs w:val="24"/>
    </w:rPr>
  </w:style>
  <w:style w:type="table" w:customStyle="1" w:styleId="28">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paragraph" w:customStyle="1" w:styleId="29">
    <w:name w:val="Table Paragraph"/>
    <w:basedOn w:val="1"/>
    <w:qFormat/>
    <w:uiPriority w:val="1"/>
    <w:pPr>
      <w:autoSpaceDE w:val="0"/>
      <w:autoSpaceDN w:val="0"/>
      <w:jc w:val="left"/>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25</Pages>
  <Words>2210</Words>
  <Characters>12600</Characters>
  <Lines>105</Lines>
  <Paragraphs>29</Paragraphs>
  <TotalTime>3</TotalTime>
  <ScaleCrop>false</ScaleCrop>
  <LinksUpToDate>false</LinksUpToDate>
  <CharactersWithSpaces>14781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2023-02-23T12:25:00Z</dcterms:created>
  <dc:creator>毛江峰</dc:creator>
  <cp:lastModifiedBy>sincerely.雪莲</cp:lastModifiedBy>
  <dcterms:modified xsi:type="dcterms:W3CDTF">2023-10-16T15:18:04Z</dcterms:modified>
  <dc:title>2014年全国职业院校技能大赛</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A99EC86F78D240A486C12527016BB2A8</vt:lpwstr>
  </property>
</Properties>
</file>