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E09ED6">
      <w:pPr>
        <w:pStyle w:val="2"/>
        <w:keepNext/>
        <w:keepLines/>
        <w:pageBreakBefore w:val="0"/>
        <w:widowControl w:val="0"/>
        <w:kinsoku/>
        <w:wordWrap/>
        <w:overflowPunct/>
        <w:topLinePunct w:val="0"/>
        <w:autoSpaceDE/>
        <w:autoSpaceDN/>
        <w:bidi w:val="0"/>
        <w:adjustRightInd/>
        <w:snapToGrid/>
        <w:spacing w:after="380" w:line="560" w:lineRule="exact"/>
        <w:jc w:val="center"/>
        <w:textAlignment w:val="auto"/>
        <w:rPr>
          <w:rFonts w:hint="eastAsia" w:cstheme="minorBidi"/>
          <w:snapToGrid/>
          <w:kern w:val="2"/>
          <w:sz w:val="40"/>
          <w:szCs w:val="32"/>
          <w:lang w:val="en-US" w:eastAsia="zh-CN"/>
        </w:rPr>
      </w:pPr>
      <w:r>
        <w:rPr>
          <w:rFonts w:hint="eastAsia" w:cstheme="minorBidi"/>
          <w:snapToGrid/>
          <w:kern w:val="2"/>
          <w:sz w:val="40"/>
          <w:szCs w:val="32"/>
          <w:lang w:val="en-US" w:eastAsia="zh-CN"/>
        </w:rPr>
        <w:t>2024年兰州现代职业学院技能大赛高职学生组</w:t>
      </w:r>
    </w:p>
    <w:p w14:paraId="3E417556">
      <w:pPr>
        <w:pStyle w:val="2"/>
        <w:keepNext/>
        <w:keepLines/>
        <w:pageBreakBefore w:val="0"/>
        <w:widowControl w:val="0"/>
        <w:kinsoku/>
        <w:wordWrap/>
        <w:overflowPunct/>
        <w:topLinePunct w:val="0"/>
        <w:autoSpaceDE/>
        <w:autoSpaceDN/>
        <w:bidi w:val="0"/>
        <w:adjustRightInd/>
        <w:snapToGrid/>
        <w:spacing w:after="380" w:line="560" w:lineRule="exact"/>
        <w:jc w:val="center"/>
        <w:textAlignment w:val="auto"/>
        <w:rPr>
          <w:rFonts w:hint="eastAsia" w:cstheme="minorBidi"/>
          <w:snapToGrid/>
          <w:kern w:val="2"/>
          <w:sz w:val="40"/>
          <w:szCs w:val="32"/>
          <w:lang w:val="en-US" w:eastAsia="zh-CN"/>
        </w:rPr>
      </w:pPr>
      <w:r>
        <w:rPr>
          <w:rFonts w:hint="eastAsia" w:cstheme="minorBidi"/>
          <w:snapToGrid/>
          <w:kern w:val="2"/>
          <w:sz w:val="40"/>
          <w:szCs w:val="32"/>
          <w:lang w:val="en-US" w:eastAsia="zh-CN"/>
        </w:rPr>
        <w:t>土木建筑大类工程算量赛项</w:t>
      </w:r>
      <w:r>
        <w:rPr>
          <w:rFonts w:hint="eastAsia" w:cstheme="minorBidi"/>
          <w:snapToGrid/>
          <w:kern w:val="2"/>
          <w:sz w:val="40"/>
          <w:szCs w:val="32"/>
          <w:lang w:val="en-US" w:eastAsia="zh-CN"/>
        </w:rPr>
        <w:t>竞赛规程</w:t>
      </w:r>
    </w:p>
    <w:p w14:paraId="007512B4">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pacing w:val="2"/>
          <w:sz w:val="28"/>
          <w:szCs w:val="28"/>
        </w:rPr>
        <w:t>一、赛项信息</w:t>
      </w:r>
    </w:p>
    <w:p w14:paraId="4165FD25">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632"/>
        <w:jc w:val="left"/>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pacing w:val="-3"/>
          <w:sz w:val="28"/>
          <w:szCs w:val="28"/>
        </w:rPr>
        <w:t>赛项名称：工程算量</w:t>
      </w:r>
    </w:p>
    <w:p w14:paraId="2A09A812">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632"/>
        <w:jc w:val="left"/>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pacing w:val="-4"/>
          <w:sz w:val="28"/>
          <w:szCs w:val="28"/>
        </w:rPr>
        <w:t>赛项组别：高职组</w:t>
      </w:r>
    </w:p>
    <w:p w14:paraId="6301D7A7">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645"/>
        <w:jc w:val="left"/>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pacing w:val="-6"/>
          <w:sz w:val="28"/>
          <w:szCs w:val="28"/>
        </w:rPr>
        <w:t>竞赛形式：团体赛</w:t>
      </w:r>
      <w:bookmarkStart w:id="0" w:name="_GoBack"/>
      <w:bookmarkEnd w:id="0"/>
    </w:p>
    <w:p w14:paraId="5421B215">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二、竞赛目标</w:t>
      </w:r>
    </w:p>
    <w:p w14:paraId="6DC8B1D6">
      <w:pPr>
        <w:pageBreakBefore w:val="0"/>
        <w:wordWrap/>
        <w:overflowPunct/>
        <w:topLinePunct w:val="0"/>
        <w:bidi w:val="0"/>
        <w:spacing w:before="46" w:line="560" w:lineRule="exact"/>
        <w:ind w:left="167" w:firstLine="641"/>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snapToGrid w:val="0"/>
          <w:color w:val="auto"/>
          <w:spacing w:val="-6"/>
          <w:kern w:val="0"/>
          <w:sz w:val="28"/>
          <w:szCs w:val="28"/>
          <w:lang w:val="en-US" w:eastAsia="zh-CN" w:bidi="ar-SA"/>
        </w:rPr>
        <w:t>赛项</w:t>
      </w:r>
      <w:r>
        <w:rPr>
          <w:rFonts w:hint="eastAsia" w:ascii="仿宋_GB2312" w:hAnsi="仿宋_GB2312" w:eastAsia="仿宋_GB2312" w:cs="仿宋_GB2312"/>
          <w:snapToGrid w:val="0"/>
          <w:color w:val="auto"/>
          <w:spacing w:val="-6"/>
          <w:kern w:val="0"/>
          <w:sz w:val="28"/>
          <w:szCs w:val="28"/>
          <w:lang w:val="en-US" w:eastAsia="en-US" w:bidi="ar-SA"/>
        </w:rPr>
        <w:t>将深入贯彻落实习近平总书记关于职业教育重要指示批示精神和党中央、国务院关于职业教育改革发展的决策部署，以“技炫青春能创未来”为主题，秉持“精彩、公平、专业、开放”的办赛理念，立足国内、放眼世界，努力将大赛办成具有中国特色、世界水平的技能大赛，展示我国职业教育成就和水平，搭建世界职业教育互学互鉴、友好交流平台，推动培养更多适应新技术变革和产业发展需要的 高技能人才、能工巧匠、大国工匠。</w:t>
      </w:r>
    </w:p>
    <w:p w14:paraId="132E34B5">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36" w:firstLineChars="200"/>
        <w:jc w:val="both"/>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pacing w:val="-6"/>
          <w:sz w:val="28"/>
          <w:szCs w:val="28"/>
        </w:rPr>
        <w:t>赛项设计以建筑产业转型升级为抓手，以服务数</w:t>
      </w:r>
      <w:r>
        <w:rPr>
          <w:rFonts w:hint="eastAsia" w:ascii="仿宋_GB2312" w:hAnsi="仿宋_GB2312" w:eastAsia="仿宋_GB2312" w:cs="仿宋_GB2312"/>
          <w:color w:val="auto"/>
          <w:spacing w:val="-7"/>
          <w:sz w:val="28"/>
          <w:szCs w:val="28"/>
        </w:rPr>
        <w:t>字建造强国为核</w:t>
      </w:r>
      <w:r>
        <w:rPr>
          <w:rFonts w:hint="eastAsia" w:ascii="仿宋_GB2312" w:hAnsi="仿宋_GB2312" w:eastAsia="仿宋_GB2312" w:cs="仿宋_GB2312"/>
          <w:color w:val="auto"/>
          <w:spacing w:val="-6"/>
          <w:sz w:val="28"/>
          <w:szCs w:val="28"/>
        </w:rPr>
        <w:t>心，全面对接建筑产业数字化、工业化、智</w:t>
      </w:r>
      <w:r>
        <w:rPr>
          <w:rFonts w:hint="eastAsia" w:ascii="仿宋_GB2312" w:hAnsi="仿宋_GB2312" w:eastAsia="仿宋_GB2312" w:cs="仿宋_GB2312"/>
          <w:color w:val="auto"/>
          <w:spacing w:val="-7"/>
          <w:sz w:val="28"/>
          <w:szCs w:val="28"/>
        </w:rPr>
        <w:t>能化发展新趋势，推进建</w:t>
      </w:r>
      <w:r>
        <w:rPr>
          <w:rFonts w:hint="eastAsia" w:ascii="仿宋_GB2312" w:hAnsi="仿宋_GB2312" w:eastAsia="仿宋_GB2312" w:cs="仿宋_GB2312"/>
          <w:color w:val="auto"/>
          <w:spacing w:val="-6"/>
          <w:sz w:val="28"/>
          <w:szCs w:val="28"/>
        </w:rPr>
        <w:t>筑工业化发展，适应</w:t>
      </w:r>
      <w:r>
        <w:rPr>
          <w:rFonts w:hint="eastAsia" w:ascii="仿宋_GB2312" w:hAnsi="仿宋_GB2312" w:eastAsia="仿宋_GB2312" w:cs="仿宋_GB2312"/>
          <w:color w:val="auto"/>
          <w:spacing w:val="-6"/>
          <w:sz w:val="28"/>
          <w:szCs w:val="28"/>
          <w:lang w:val="en-US" w:eastAsia="zh-CN"/>
        </w:rPr>
        <w:t>工程算量</w:t>
      </w:r>
      <w:r>
        <w:rPr>
          <w:rFonts w:hint="eastAsia" w:ascii="仿宋_GB2312" w:hAnsi="仿宋_GB2312" w:eastAsia="仿宋_GB2312" w:cs="仿宋_GB2312"/>
          <w:color w:val="auto"/>
          <w:spacing w:val="-6"/>
          <w:sz w:val="28"/>
          <w:szCs w:val="28"/>
        </w:rPr>
        <w:t>与管理</w:t>
      </w:r>
      <w:r>
        <w:rPr>
          <w:rFonts w:hint="eastAsia" w:ascii="仿宋_GB2312" w:hAnsi="仿宋_GB2312" w:eastAsia="仿宋_GB2312" w:cs="仿宋_GB2312"/>
          <w:color w:val="auto"/>
          <w:spacing w:val="-7"/>
          <w:sz w:val="28"/>
          <w:szCs w:val="28"/>
        </w:rPr>
        <w:t>等岗位群的新要求，助力</w:t>
      </w:r>
      <w:r>
        <w:rPr>
          <w:rFonts w:hint="eastAsia" w:ascii="仿宋_GB2312" w:hAnsi="仿宋_GB2312" w:eastAsia="仿宋_GB2312" w:cs="仿宋_GB2312"/>
          <w:color w:val="auto"/>
          <w:spacing w:val="-6"/>
          <w:sz w:val="28"/>
          <w:szCs w:val="28"/>
          <w:lang w:val="en-US" w:eastAsia="zh-CN"/>
        </w:rPr>
        <w:t>工程算量</w:t>
      </w:r>
      <w:r>
        <w:rPr>
          <w:rFonts w:hint="eastAsia" w:ascii="仿宋_GB2312" w:hAnsi="仿宋_GB2312" w:eastAsia="仿宋_GB2312" w:cs="仿宋_GB2312"/>
          <w:color w:val="auto"/>
          <w:spacing w:val="-6"/>
          <w:sz w:val="28"/>
          <w:szCs w:val="28"/>
        </w:rPr>
        <w:t>智能</w:t>
      </w:r>
      <w:r>
        <w:rPr>
          <w:rFonts w:hint="eastAsia" w:ascii="仿宋_GB2312" w:hAnsi="仿宋_GB2312" w:eastAsia="仿宋_GB2312" w:cs="仿宋_GB2312"/>
          <w:color w:val="auto"/>
          <w:spacing w:val="-6"/>
          <w:sz w:val="28"/>
          <w:szCs w:val="28"/>
          <w:lang w:val="en-US" w:eastAsia="zh-CN"/>
        </w:rPr>
        <w:t>发展</w:t>
      </w:r>
      <w:r>
        <w:rPr>
          <w:rFonts w:hint="eastAsia" w:ascii="仿宋_GB2312" w:hAnsi="仿宋_GB2312" w:eastAsia="仿宋_GB2312" w:cs="仿宋_GB2312"/>
          <w:color w:val="auto"/>
          <w:spacing w:val="-6"/>
          <w:sz w:val="28"/>
          <w:szCs w:val="28"/>
        </w:rPr>
        <w:t>。搭建专业、课程、教</w:t>
      </w:r>
      <w:r>
        <w:rPr>
          <w:rFonts w:hint="eastAsia" w:ascii="仿宋_GB2312" w:hAnsi="仿宋_GB2312" w:eastAsia="仿宋_GB2312" w:cs="仿宋_GB2312"/>
          <w:color w:val="auto"/>
          <w:spacing w:val="-7"/>
          <w:sz w:val="28"/>
          <w:szCs w:val="28"/>
        </w:rPr>
        <w:t>材、培养机制改革平台。</w:t>
      </w:r>
    </w:p>
    <w:p w14:paraId="0522DA11">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6" w:firstLineChars="200"/>
        <w:jc w:val="both"/>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pacing w:val="4"/>
          <w:sz w:val="28"/>
          <w:szCs w:val="28"/>
        </w:rPr>
        <w:t>赛项结合</w:t>
      </w:r>
      <w:r>
        <w:rPr>
          <w:rFonts w:hint="eastAsia" w:ascii="仿宋_GB2312" w:hAnsi="仿宋_GB2312" w:eastAsia="仿宋_GB2312" w:cs="仿宋_GB2312"/>
          <w:sz w:val="28"/>
          <w:szCs w:val="28"/>
        </w:rPr>
        <w:t>工程算量</w:t>
      </w:r>
      <w:r>
        <w:rPr>
          <w:rFonts w:hint="eastAsia" w:ascii="仿宋_GB2312" w:hAnsi="仿宋_GB2312" w:eastAsia="仿宋_GB2312" w:cs="仿宋_GB2312"/>
          <w:color w:val="auto"/>
          <w:spacing w:val="4"/>
          <w:sz w:val="28"/>
          <w:szCs w:val="28"/>
        </w:rPr>
        <w:t>相关岗位对人才的知识、技能、</w:t>
      </w:r>
      <w:r>
        <w:rPr>
          <w:rFonts w:hint="eastAsia" w:ascii="仿宋_GB2312" w:hAnsi="仿宋_GB2312" w:eastAsia="仿宋_GB2312" w:cs="仿宋_GB2312"/>
          <w:color w:val="auto"/>
          <w:spacing w:val="-7"/>
          <w:sz w:val="28"/>
          <w:szCs w:val="28"/>
        </w:rPr>
        <w:t>素养要求，通过检验教学效果，推动职业院校相关专业建设和改革，</w:t>
      </w:r>
      <w:r>
        <w:rPr>
          <w:rFonts w:hint="eastAsia" w:ascii="仿宋_GB2312" w:hAnsi="仿宋_GB2312" w:eastAsia="仿宋_GB2312" w:cs="仿宋_GB2312"/>
          <w:color w:val="auto"/>
          <w:spacing w:val="3"/>
          <w:sz w:val="28"/>
          <w:szCs w:val="28"/>
        </w:rPr>
        <w:t>增强学生的新技术学习能力和就业竞争力；瞄准世界高水平，营造崇尚技能氛围。充分发挥技能大赛对专业建设的</w:t>
      </w:r>
      <w:r>
        <w:rPr>
          <w:rFonts w:hint="eastAsia" w:ascii="仿宋_GB2312" w:hAnsi="仿宋_GB2312" w:eastAsia="仿宋_GB2312" w:cs="仿宋_GB2312"/>
          <w:color w:val="auto"/>
          <w:spacing w:val="2"/>
          <w:sz w:val="28"/>
          <w:szCs w:val="28"/>
        </w:rPr>
        <w:t>促进和引领作用，</w:t>
      </w:r>
      <w:r>
        <w:rPr>
          <w:rFonts w:hint="eastAsia" w:ascii="仿宋_GB2312" w:hAnsi="仿宋_GB2312" w:eastAsia="仿宋_GB2312" w:cs="仿宋_GB2312"/>
          <w:color w:val="auto"/>
          <w:spacing w:val="-1"/>
          <w:sz w:val="28"/>
          <w:szCs w:val="28"/>
        </w:rPr>
        <w:t>以竞赛为抓手，全面推进“岗、课、赛、证”深度融合，促进专业</w:t>
      </w:r>
      <w:r>
        <w:rPr>
          <w:rFonts w:hint="eastAsia" w:ascii="仿宋_GB2312" w:hAnsi="仿宋_GB2312" w:eastAsia="仿宋_GB2312" w:cs="仿宋_GB2312"/>
          <w:color w:val="auto"/>
          <w:spacing w:val="3"/>
          <w:sz w:val="28"/>
          <w:szCs w:val="28"/>
        </w:rPr>
        <w:t>建设、课程建设和教学改革，实现高水平技术技能人才、能工巧匠</w:t>
      </w:r>
      <w:r>
        <w:rPr>
          <w:rFonts w:hint="eastAsia" w:ascii="仿宋_GB2312" w:hAnsi="仿宋_GB2312" w:eastAsia="仿宋_GB2312" w:cs="仿宋_GB2312"/>
          <w:color w:val="auto"/>
          <w:spacing w:val="-7"/>
          <w:sz w:val="28"/>
          <w:szCs w:val="28"/>
        </w:rPr>
        <w:t>和大国工匠的培养。</w:t>
      </w:r>
    </w:p>
    <w:p w14:paraId="539A125B">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三、竞赛内容</w:t>
      </w:r>
    </w:p>
    <w:p w14:paraId="319877A2">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rPr>
      </w:pPr>
      <w:r>
        <w:rPr>
          <w:rFonts w:hint="eastAsia" w:ascii="仿宋_GB2312" w:hAnsi="仿宋_GB2312" w:eastAsia="仿宋_GB2312" w:cs="仿宋_GB2312"/>
          <w:color w:val="auto"/>
          <w:spacing w:val="3"/>
          <w:sz w:val="28"/>
          <w:szCs w:val="28"/>
        </w:rPr>
        <w:t>突出能力导向、解决实际问题、体现创新因素、确保可评可。</w:t>
      </w:r>
    </w:p>
    <w:p w14:paraId="3816FE24">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（一）项目内容</w:t>
      </w:r>
    </w:p>
    <w:p w14:paraId="68261F62">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rPr>
      </w:pPr>
      <w:r>
        <w:rPr>
          <w:rFonts w:hint="eastAsia" w:ascii="仿宋_GB2312" w:hAnsi="仿宋_GB2312" w:eastAsia="仿宋_GB2312" w:cs="仿宋_GB2312"/>
          <w:color w:val="auto"/>
          <w:spacing w:val="3"/>
          <w:sz w:val="28"/>
          <w:szCs w:val="28"/>
        </w:rPr>
        <w:t>根据赛道设置，结合专业要求，围绕生产、管理、服务一线岗位实际需要和实践要求，立足技能创新，基于参赛学校专业优势和特点，自主确定参赛项目名称，自主设计参赛项目内容。</w:t>
      </w:r>
    </w:p>
    <w:p w14:paraId="3EF7A026">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rPr>
      </w:pPr>
      <w:r>
        <w:rPr>
          <w:rFonts w:hint="eastAsia" w:ascii="仿宋_GB2312" w:hAnsi="仿宋_GB2312" w:eastAsia="仿宋_GB2312" w:cs="仿宋_GB2312"/>
          <w:color w:val="auto"/>
          <w:spacing w:val="3"/>
          <w:sz w:val="28"/>
          <w:szCs w:val="28"/>
          <w:lang w:val="en-US" w:eastAsia="zh-CN"/>
        </w:rPr>
        <w:t>1、</w:t>
      </w:r>
      <w:r>
        <w:rPr>
          <w:rFonts w:hint="eastAsia" w:ascii="仿宋_GB2312" w:hAnsi="仿宋_GB2312" w:eastAsia="仿宋_GB2312" w:cs="仿宋_GB2312"/>
          <w:color w:val="auto"/>
          <w:spacing w:val="3"/>
          <w:sz w:val="28"/>
          <w:szCs w:val="28"/>
        </w:rPr>
        <w:t>参赛项目确定</w:t>
      </w:r>
    </w:p>
    <w:p w14:paraId="79CB8474">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rPr>
      </w:pPr>
      <w:r>
        <w:rPr>
          <w:rFonts w:hint="eastAsia" w:ascii="仿宋_GB2312" w:hAnsi="仿宋_GB2312" w:eastAsia="仿宋_GB2312" w:cs="仿宋_GB2312"/>
          <w:color w:val="auto"/>
          <w:spacing w:val="3"/>
          <w:sz w:val="28"/>
          <w:szCs w:val="28"/>
        </w:rPr>
        <w:t>根据教育部印发的大赛通知公布的赛道及小组，自主设计和确定参赛项目名称。</w:t>
      </w:r>
    </w:p>
    <w:p w14:paraId="152FE8CA">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rPr>
      </w:pPr>
      <w:r>
        <w:rPr>
          <w:rFonts w:hint="eastAsia" w:ascii="仿宋_GB2312" w:hAnsi="仿宋_GB2312" w:eastAsia="仿宋_GB2312" w:cs="仿宋_GB2312"/>
          <w:color w:val="auto"/>
          <w:spacing w:val="3"/>
          <w:sz w:val="28"/>
          <w:szCs w:val="28"/>
        </w:rPr>
        <w:t>设计的参赛项目须符合职业岗位要求，操作规范、安全。不得含有任何违反《中华人民共和国宪法》及其他法律法规的内容。所涉及的发明创造、专利技术、资源等必须拥有清晰、合法的产权或物权。参赛项目如有涉密内容，参赛前须进行脱密处理。不得有抄袭盗用他人成果、提供虚假材料等违反相关法律法规的行为。</w:t>
      </w:r>
    </w:p>
    <w:p w14:paraId="3AD1F0C7">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rPr>
      </w:pPr>
      <w:r>
        <w:rPr>
          <w:rFonts w:hint="eastAsia" w:ascii="仿宋_GB2312" w:hAnsi="仿宋_GB2312" w:eastAsia="仿宋_GB2312" w:cs="仿宋_GB2312"/>
          <w:color w:val="auto"/>
          <w:spacing w:val="3"/>
          <w:sz w:val="28"/>
          <w:szCs w:val="28"/>
          <w:lang w:val="en-US" w:eastAsia="zh-CN"/>
        </w:rPr>
        <w:t>2、</w:t>
      </w:r>
      <w:r>
        <w:rPr>
          <w:rFonts w:hint="eastAsia" w:ascii="仿宋_GB2312" w:hAnsi="仿宋_GB2312" w:eastAsia="仿宋_GB2312" w:cs="仿宋_GB2312"/>
          <w:color w:val="auto"/>
          <w:spacing w:val="3"/>
          <w:sz w:val="28"/>
          <w:szCs w:val="28"/>
        </w:rPr>
        <w:t>项目内容设计</w:t>
      </w:r>
    </w:p>
    <w:p w14:paraId="12019CE5">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rPr>
      </w:pPr>
      <w:r>
        <w:rPr>
          <w:rFonts w:hint="eastAsia" w:ascii="仿宋_GB2312" w:hAnsi="仿宋_GB2312" w:eastAsia="仿宋_GB2312" w:cs="仿宋_GB2312"/>
          <w:color w:val="auto"/>
          <w:spacing w:val="3"/>
          <w:sz w:val="28"/>
          <w:szCs w:val="28"/>
        </w:rPr>
        <w:t>应围绕“技能水平、职业素养、应用价值、团队合作、创新创意 ”要素，进行参赛项目的内容设计。</w:t>
      </w:r>
    </w:p>
    <w:p w14:paraId="457CF72C">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rPr>
      </w:pPr>
      <w:r>
        <w:rPr>
          <w:rFonts w:hint="eastAsia" w:ascii="仿宋_GB2312" w:hAnsi="仿宋_GB2312" w:eastAsia="仿宋_GB2312" w:cs="仿宋_GB2312"/>
          <w:color w:val="auto"/>
          <w:spacing w:val="3"/>
          <w:sz w:val="28"/>
          <w:szCs w:val="28"/>
        </w:rPr>
        <w:t>技能水平方面应能体现选手技能熟练度、难易度及解决问题的复杂度等；职业素养方面应能体现良好的职业道德、职业精神、工匠精神等；应用价值方面应能体现解决生产、生活一线实际问题或困难以及创造社会经济价值的情况；团队合作方面应能够体现分工明确</w:t>
      </w:r>
      <w:r>
        <w:rPr>
          <w:rFonts w:hint="eastAsia" w:ascii="仿宋_GB2312" w:hAnsi="仿宋_GB2312" w:eastAsia="仿宋_GB2312" w:cs="仿宋_GB2312"/>
          <w:color w:val="auto"/>
          <w:spacing w:val="3"/>
          <w:sz w:val="28"/>
          <w:szCs w:val="28"/>
          <w:lang w:eastAsia="zh-CN"/>
        </w:rPr>
        <w:t>、</w:t>
      </w:r>
      <w:r>
        <w:rPr>
          <w:rFonts w:hint="eastAsia" w:ascii="仿宋_GB2312" w:hAnsi="仿宋_GB2312" w:eastAsia="仿宋_GB2312" w:cs="仿宋_GB2312"/>
          <w:color w:val="auto"/>
          <w:spacing w:val="3"/>
          <w:sz w:val="28"/>
          <w:szCs w:val="28"/>
        </w:rPr>
        <w:t>紧密协作、各司其职、高效沟通、统筹安排等能力；创新创意方面应能体现创新意识、创新理念及技能创新点。</w:t>
      </w:r>
    </w:p>
    <w:p w14:paraId="1B97B8C6">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（二）项目呈现</w:t>
      </w:r>
    </w:p>
    <w:p w14:paraId="4C980E4F">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参赛队伍根据工作任务，按团队成员分工，进行现场讲解。现场讲解主要介绍总体思路、技能要点、主要成果、项目创新等。每项比赛时长为15分钟，重点展示核心技能和关键环节。</w:t>
      </w:r>
    </w:p>
    <w:p w14:paraId="60343C93">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lang w:val="en-US" w:eastAsia="zh-CN"/>
        </w:rPr>
      </w:pPr>
      <w:r>
        <w:rPr>
          <w:rFonts w:hint="eastAsia" w:ascii="仿宋_GB2312" w:hAnsi="仿宋_GB2312" w:eastAsia="仿宋_GB2312" w:cs="仿宋_GB2312"/>
          <w:b/>
          <w:bCs/>
          <w:color w:val="auto"/>
          <w:spacing w:val="2"/>
          <w:sz w:val="28"/>
          <w:szCs w:val="28"/>
          <w:lang w:val="en-US" w:eastAsia="zh-CN"/>
        </w:rPr>
        <w:t>四、竞赛方式</w:t>
      </w:r>
    </w:p>
    <w:p w14:paraId="5C597F9A">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(一)竞赛时间</w:t>
      </w:r>
    </w:p>
    <w:tbl>
      <w:tblPr>
        <w:tblStyle w:val="6"/>
        <w:tblW w:w="8573"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80"/>
        <w:gridCol w:w="1970"/>
        <w:gridCol w:w="5323"/>
      </w:tblGrid>
      <w:tr w14:paraId="7CA51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3250" w:type="dxa"/>
            <w:gridSpan w:val="2"/>
            <w:tcBorders>
              <w:top w:val="single" w:color="000000" w:sz="4" w:space="0"/>
              <w:left w:val="single" w:color="000000" w:sz="4" w:space="0"/>
              <w:bottom w:val="single" w:color="000000" w:sz="4" w:space="0"/>
              <w:right w:val="single" w:color="000000" w:sz="4" w:space="0"/>
            </w:tcBorders>
            <w:noWrap w:val="0"/>
            <w:vAlign w:val="center"/>
          </w:tcPr>
          <w:p w14:paraId="662B46E8">
            <w:pPr>
              <w:keepNext w:val="0"/>
              <w:keepLines w:val="0"/>
              <w:pageBreakBefore w:val="0"/>
              <w:widowControl/>
              <w:suppressLineNumbers w:val="0"/>
              <w:wordWrap/>
              <w:overflowPunct/>
              <w:topLinePunct w:val="0"/>
              <w:bidi w:val="0"/>
              <w:spacing w:line="560" w:lineRule="exact"/>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snapToGrid w:val="0"/>
                <w:color w:val="000000"/>
                <w:kern w:val="0"/>
                <w:sz w:val="28"/>
                <w:szCs w:val="28"/>
                <w:u w:val="none"/>
                <w:lang w:val="en-US" w:eastAsia="zh-CN" w:bidi="ar"/>
              </w:rPr>
              <w:t>时间</w:t>
            </w:r>
          </w:p>
        </w:tc>
        <w:tc>
          <w:tcPr>
            <w:tcW w:w="5323" w:type="dxa"/>
            <w:tcBorders>
              <w:top w:val="single" w:color="000000" w:sz="4" w:space="0"/>
              <w:left w:val="single" w:color="000000" w:sz="4" w:space="0"/>
              <w:bottom w:val="single" w:color="000000" w:sz="4" w:space="0"/>
              <w:right w:val="single" w:color="000000" w:sz="4" w:space="0"/>
            </w:tcBorders>
            <w:noWrap w:val="0"/>
            <w:vAlign w:val="center"/>
          </w:tcPr>
          <w:p w14:paraId="31AD5B7A">
            <w:pPr>
              <w:keepNext w:val="0"/>
              <w:keepLines w:val="0"/>
              <w:pageBreakBefore w:val="0"/>
              <w:widowControl/>
              <w:suppressLineNumbers w:val="0"/>
              <w:wordWrap/>
              <w:overflowPunct/>
              <w:topLinePunct w:val="0"/>
              <w:bidi w:val="0"/>
              <w:spacing w:line="560" w:lineRule="exact"/>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snapToGrid w:val="0"/>
                <w:color w:val="000000"/>
                <w:kern w:val="0"/>
                <w:sz w:val="28"/>
                <w:szCs w:val="28"/>
                <w:u w:val="none"/>
                <w:lang w:val="en-US" w:eastAsia="zh-CN" w:bidi="ar"/>
              </w:rPr>
              <w:t>内容</w:t>
            </w:r>
          </w:p>
        </w:tc>
      </w:tr>
      <w:tr w14:paraId="5E304C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280" w:type="dxa"/>
            <w:vMerge w:val="restart"/>
            <w:tcBorders>
              <w:top w:val="single" w:color="000000" w:sz="4" w:space="0"/>
              <w:left w:val="single" w:color="000000" w:sz="4" w:space="0"/>
              <w:bottom w:val="single" w:color="000000" w:sz="4" w:space="0"/>
              <w:right w:val="single" w:color="000000" w:sz="4" w:space="0"/>
            </w:tcBorders>
            <w:noWrap w:val="0"/>
            <w:vAlign w:val="center"/>
          </w:tcPr>
          <w:p w14:paraId="2DC33425">
            <w:pPr>
              <w:keepNext w:val="0"/>
              <w:keepLines w:val="0"/>
              <w:pageBreakBefore w:val="0"/>
              <w:widowControl/>
              <w:suppressLineNumbers w:val="0"/>
              <w:wordWrap/>
              <w:overflowPunct/>
              <w:topLinePunct w:val="0"/>
              <w:bidi w:val="0"/>
              <w:spacing w:line="560" w:lineRule="exact"/>
              <w:jc w:val="center"/>
              <w:textAlignment w:val="center"/>
              <w:rPr>
                <w:rFonts w:hint="eastAsia" w:ascii="仿宋_GB2312" w:hAnsi="仿宋_GB2312" w:eastAsia="仿宋_GB2312" w:cs="仿宋_GB2312"/>
                <w:i w:val="0"/>
                <w:iCs w:val="0"/>
                <w:snapToGrid w:val="0"/>
                <w:color w:val="000000"/>
                <w:kern w:val="0"/>
                <w:sz w:val="28"/>
                <w:szCs w:val="28"/>
                <w:u w:val="none"/>
                <w:lang w:val="en-US" w:eastAsia="zh-CN" w:bidi="ar"/>
              </w:rPr>
            </w:pPr>
            <w:r>
              <w:rPr>
                <w:rFonts w:hint="eastAsia" w:ascii="仿宋_GB2312" w:hAnsi="仿宋_GB2312" w:eastAsia="仿宋_GB2312" w:cs="仿宋_GB2312"/>
                <w:i w:val="0"/>
                <w:iCs w:val="0"/>
                <w:snapToGrid w:val="0"/>
                <w:color w:val="000000"/>
                <w:kern w:val="0"/>
                <w:sz w:val="28"/>
                <w:szCs w:val="28"/>
                <w:u w:val="none"/>
                <w:lang w:val="en-US" w:eastAsia="zh-CN" w:bidi="ar"/>
              </w:rPr>
              <w:t>竞赛</w:t>
            </w:r>
          </w:p>
          <w:p w14:paraId="54C65813">
            <w:pPr>
              <w:keepNext w:val="0"/>
              <w:keepLines w:val="0"/>
              <w:pageBreakBefore w:val="0"/>
              <w:widowControl/>
              <w:suppressLineNumbers w:val="0"/>
              <w:wordWrap/>
              <w:overflowPunct/>
              <w:topLinePunct w:val="0"/>
              <w:bidi w:val="0"/>
              <w:spacing w:line="560" w:lineRule="exact"/>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snapToGrid w:val="0"/>
                <w:color w:val="000000"/>
                <w:kern w:val="0"/>
                <w:sz w:val="28"/>
                <w:szCs w:val="28"/>
                <w:u w:val="none"/>
                <w:lang w:val="en-US" w:eastAsia="zh-CN" w:bidi="ar"/>
              </w:rPr>
              <w:t>第一天</w:t>
            </w:r>
          </w:p>
        </w:tc>
        <w:tc>
          <w:tcPr>
            <w:tcW w:w="1970" w:type="dxa"/>
            <w:tcBorders>
              <w:top w:val="single" w:color="000000" w:sz="4" w:space="0"/>
              <w:left w:val="single" w:color="000000" w:sz="4" w:space="0"/>
              <w:bottom w:val="single" w:color="000000" w:sz="4" w:space="0"/>
              <w:right w:val="single" w:color="000000" w:sz="4" w:space="0"/>
            </w:tcBorders>
            <w:noWrap w:val="0"/>
            <w:vAlign w:val="center"/>
          </w:tcPr>
          <w:p w14:paraId="58BA337A">
            <w:pPr>
              <w:keepNext w:val="0"/>
              <w:keepLines w:val="0"/>
              <w:pageBreakBefore w:val="0"/>
              <w:widowControl/>
              <w:suppressLineNumbers w:val="0"/>
              <w:wordWrap/>
              <w:overflowPunct/>
              <w:topLinePunct w:val="0"/>
              <w:bidi w:val="0"/>
              <w:spacing w:line="560" w:lineRule="exact"/>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snapToGrid w:val="0"/>
                <w:color w:val="000000"/>
                <w:kern w:val="0"/>
                <w:sz w:val="28"/>
                <w:szCs w:val="28"/>
                <w:u w:val="none"/>
                <w:lang w:val="en-US" w:eastAsia="zh-CN" w:bidi="ar"/>
              </w:rPr>
              <w:t>07:30-9:00</w:t>
            </w:r>
          </w:p>
        </w:tc>
        <w:tc>
          <w:tcPr>
            <w:tcW w:w="5323" w:type="dxa"/>
            <w:tcBorders>
              <w:top w:val="single" w:color="000000" w:sz="4" w:space="0"/>
              <w:left w:val="single" w:color="000000" w:sz="4" w:space="0"/>
              <w:bottom w:val="single" w:color="000000" w:sz="4" w:space="0"/>
              <w:right w:val="single" w:color="000000" w:sz="4" w:space="0"/>
            </w:tcBorders>
            <w:noWrap w:val="0"/>
            <w:vAlign w:val="center"/>
          </w:tcPr>
          <w:p w14:paraId="761805A5">
            <w:pPr>
              <w:keepNext w:val="0"/>
              <w:keepLines w:val="0"/>
              <w:pageBreakBefore w:val="0"/>
              <w:widowControl/>
              <w:suppressLineNumbers w:val="0"/>
              <w:wordWrap/>
              <w:overflowPunct/>
              <w:topLinePunct w:val="0"/>
              <w:bidi w:val="0"/>
              <w:spacing w:line="560" w:lineRule="exact"/>
              <w:jc w:val="left"/>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snapToGrid w:val="0"/>
                <w:color w:val="000000"/>
                <w:kern w:val="0"/>
                <w:sz w:val="28"/>
                <w:szCs w:val="28"/>
                <w:u w:val="none"/>
                <w:lang w:val="en-US" w:eastAsia="zh-CN" w:bidi="ar"/>
              </w:rPr>
              <w:t>学生检录入场、第一、二次抽签、检查确认竞赛环境</w:t>
            </w:r>
          </w:p>
        </w:tc>
      </w:tr>
      <w:tr w14:paraId="6F5848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0" w:hRule="atLeast"/>
        </w:trPr>
        <w:tc>
          <w:tcPr>
            <w:tcW w:w="12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6CFE4C5">
            <w:pPr>
              <w:pageBreakBefore w:val="0"/>
              <w:wordWrap/>
              <w:overflowPunct/>
              <w:topLinePunct w:val="0"/>
              <w:bidi w:val="0"/>
              <w:spacing w:line="560" w:lineRule="exact"/>
              <w:jc w:val="center"/>
              <w:rPr>
                <w:rFonts w:hint="eastAsia" w:ascii="仿宋_GB2312" w:hAnsi="仿宋_GB2312" w:eastAsia="仿宋_GB2312" w:cs="仿宋_GB2312"/>
                <w:i w:val="0"/>
                <w:iCs w:val="0"/>
                <w:color w:val="000000"/>
                <w:sz w:val="28"/>
                <w:szCs w:val="28"/>
                <w:u w:val="none"/>
              </w:rPr>
            </w:pPr>
          </w:p>
        </w:tc>
        <w:tc>
          <w:tcPr>
            <w:tcW w:w="7293" w:type="dxa"/>
            <w:gridSpan w:val="2"/>
            <w:tcBorders>
              <w:top w:val="single" w:color="000000" w:sz="4" w:space="0"/>
              <w:left w:val="single" w:color="000000" w:sz="4" w:space="0"/>
              <w:bottom w:val="single" w:color="000000" w:sz="4" w:space="0"/>
              <w:right w:val="single" w:color="000000" w:sz="4" w:space="0"/>
            </w:tcBorders>
            <w:noWrap w:val="0"/>
            <w:vAlign w:val="center"/>
          </w:tcPr>
          <w:p w14:paraId="7E9FFF3A">
            <w:pPr>
              <w:keepNext w:val="0"/>
              <w:keepLines w:val="0"/>
              <w:pageBreakBefore w:val="0"/>
              <w:widowControl/>
              <w:suppressLineNumbers w:val="0"/>
              <w:wordWrap/>
              <w:overflowPunct/>
              <w:topLinePunct w:val="0"/>
              <w:bidi w:val="0"/>
              <w:spacing w:line="560" w:lineRule="exact"/>
              <w:ind w:firstLine="280" w:firstLineChars="100"/>
              <w:jc w:val="both"/>
              <w:textAlignment w:val="center"/>
              <w:rPr>
                <w:rFonts w:hint="eastAsia" w:ascii="仿宋_GB2312" w:hAnsi="仿宋_GB2312" w:eastAsia="仿宋_GB2312" w:cs="仿宋_GB2312"/>
                <w:i w:val="0"/>
                <w:iCs w:val="0"/>
                <w:snapToGrid w:val="0"/>
                <w:color w:val="000000"/>
                <w:kern w:val="0"/>
                <w:sz w:val="28"/>
                <w:szCs w:val="28"/>
                <w:u w:val="none"/>
                <w:lang w:val="en-US" w:eastAsia="zh-CN" w:bidi="ar"/>
              </w:rPr>
            </w:pPr>
          </w:p>
          <w:p w14:paraId="7D3EE25C">
            <w:pPr>
              <w:keepNext w:val="0"/>
              <w:keepLines w:val="0"/>
              <w:pageBreakBefore w:val="0"/>
              <w:widowControl/>
              <w:suppressLineNumbers w:val="0"/>
              <w:wordWrap/>
              <w:overflowPunct/>
              <w:topLinePunct w:val="0"/>
              <w:bidi w:val="0"/>
              <w:spacing w:line="560" w:lineRule="exact"/>
              <w:ind w:firstLine="280" w:firstLineChars="100"/>
              <w:jc w:val="both"/>
              <w:textAlignment w:val="center"/>
              <w:rPr>
                <w:rFonts w:hint="eastAsia" w:ascii="仿宋_GB2312" w:hAnsi="仿宋_GB2312" w:eastAsia="仿宋_GB2312" w:cs="仿宋_GB2312"/>
                <w:i w:val="0"/>
                <w:iCs w:val="0"/>
                <w:snapToGrid w:val="0"/>
                <w:color w:val="000000"/>
                <w:kern w:val="0"/>
                <w:sz w:val="28"/>
                <w:szCs w:val="28"/>
                <w:u w:val="none"/>
                <w:lang w:val="en-US" w:eastAsia="zh-CN" w:bidi="ar"/>
              </w:rPr>
            </w:pPr>
            <w:r>
              <w:rPr>
                <w:rFonts w:hint="eastAsia" w:ascii="仿宋_GB2312" w:hAnsi="仿宋_GB2312" w:eastAsia="仿宋_GB2312" w:cs="仿宋_GB2312"/>
                <w:i w:val="0"/>
                <w:iCs w:val="0"/>
                <w:snapToGrid w:val="0"/>
                <w:color w:val="000000"/>
                <w:kern w:val="0"/>
                <w:sz w:val="28"/>
                <w:szCs w:val="28"/>
                <w:u w:val="none"/>
                <w:lang w:val="en-US" w:eastAsia="zh-CN" w:bidi="ar"/>
              </w:rPr>
              <w:t>正式比赛                  10:00-11:00</w:t>
            </w:r>
          </w:p>
          <w:p w14:paraId="3313FBD9">
            <w:pPr>
              <w:keepNext w:val="0"/>
              <w:keepLines w:val="0"/>
              <w:pageBreakBefore w:val="0"/>
              <w:widowControl/>
              <w:suppressLineNumbers w:val="0"/>
              <w:wordWrap/>
              <w:overflowPunct/>
              <w:topLinePunct w:val="0"/>
              <w:bidi w:val="0"/>
              <w:spacing w:line="560" w:lineRule="exact"/>
              <w:jc w:val="left"/>
              <w:textAlignment w:val="center"/>
              <w:rPr>
                <w:rFonts w:hint="eastAsia" w:ascii="仿宋_GB2312" w:hAnsi="仿宋_GB2312" w:eastAsia="仿宋_GB2312" w:cs="仿宋_GB2312"/>
                <w:i w:val="0"/>
                <w:iCs w:val="0"/>
                <w:color w:val="000000"/>
                <w:sz w:val="28"/>
                <w:szCs w:val="28"/>
                <w:u w:val="none"/>
              </w:rPr>
            </w:pPr>
          </w:p>
        </w:tc>
      </w:tr>
    </w:tbl>
    <w:p w14:paraId="19893C76">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w:t>
      </w:r>
      <w:r>
        <w:rPr>
          <w:rFonts w:hint="eastAsia" w:ascii="仿宋_GB2312" w:hAnsi="仿宋_GB2312" w:eastAsia="仿宋_GB2312" w:cs="仿宋_GB2312"/>
          <w:b/>
          <w:bCs/>
          <w:color w:val="auto"/>
          <w:spacing w:val="2"/>
          <w:sz w:val="28"/>
          <w:szCs w:val="28"/>
          <w:lang w:val="en-US" w:eastAsia="zh-CN"/>
        </w:rPr>
        <w:t>二</w:t>
      </w:r>
      <w:r>
        <w:rPr>
          <w:rFonts w:hint="eastAsia" w:ascii="仿宋_GB2312" w:hAnsi="仿宋_GB2312" w:eastAsia="仿宋_GB2312" w:cs="仿宋_GB2312"/>
          <w:b/>
          <w:bCs/>
          <w:color w:val="auto"/>
          <w:spacing w:val="2"/>
          <w:sz w:val="28"/>
          <w:szCs w:val="28"/>
        </w:rPr>
        <w:t>)竞赛形式</w:t>
      </w:r>
    </w:p>
    <w:p w14:paraId="6388368B">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线下比赛</w:t>
      </w:r>
    </w:p>
    <w:p w14:paraId="2C29DA19">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w:t>
      </w:r>
      <w:r>
        <w:rPr>
          <w:rFonts w:hint="eastAsia" w:ascii="仿宋_GB2312" w:hAnsi="仿宋_GB2312" w:eastAsia="仿宋_GB2312" w:cs="仿宋_GB2312"/>
          <w:b/>
          <w:bCs/>
          <w:color w:val="auto"/>
          <w:spacing w:val="2"/>
          <w:sz w:val="28"/>
          <w:szCs w:val="28"/>
          <w:lang w:val="en-US" w:eastAsia="zh-CN"/>
        </w:rPr>
        <w:t>三</w:t>
      </w:r>
      <w:r>
        <w:rPr>
          <w:rFonts w:hint="eastAsia" w:ascii="仿宋_GB2312" w:hAnsi="仿宋_GB2312" w:eastAsia="仿宋_GB2312" w:cs="仿宋_GB2312"/>
          <w:b/>
          <w:bCs/>
          <w:color w:val="auto"/>
          <w:spacing w:val="2"/>
          <w:sz w:val="28"/>
          <w:szCs w:val="28"/>
        </w:rPr>
        <w:t>)组队方式</w:t>
      </w:r>
    </w:p>
    <w:p w14:paraId="20B34119">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1、组队方式为团体赛，每组参赛学生4名，</w:t>
      </w:r>
    </w:p>
    <w:p w14:paraId="3ECA06F3">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2、参赛选手须为2024年度本校全日制在籍学生（以报名时的学籍信息为准）。</w:t>
      </w:r>
    </w:p>
    <w:p w14:paraId="1281C2D3">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lang w:val="en-US" w:eastAsia="zh-CN"/>
        </w:rPr>
        <w:t>六</w:t>
      </w:r>
      <w:r>
        <w:rPr>
          <w:rFonts w:hint="eastAsia" w:ascii="仿宋_GB2312" w:hAnsi="仿宋_GB2312" w:eastAsia="仿宋_GB2312" w:cs="仿宋_GB2312"/>
          <w:b/>
          <w:bCs/>
          <w:color w:val="auto"/>
          <w:spacing w:val="2"/>
          <w:sz w:val="28"/>
          <w:szCs w:val="28"/>
        </w:rPr>
        <w:t>、抽签方法</w:t>
      </w:r>
    </w:p>
    <w:p w14:paraId="3BC33687">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方法：报到时领取选手参赛号，赛前说明会后采用人工方式进行抽签，抽取抽签顺序号。根据抽签顺序号依次进行现场讲解。</w:t>
      </w:r>
    </w:p>
    <w:p w14:paraId="79A455F4">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原则：确保抽签公平、公正。</w:t>
      </w:r>
    </w:p>
    <w:p w14:paraId="1169D6B4">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七、竞赛规则</w:t>
      </w:r>
    </w:p>
    <w:p w14:paraId="1576A66B">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(一)选手报名</w:t>
      </w:r>
    </w:p>
    <w:p w14:paraId="566EB308">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参赛选手须为2024年度本校全日制在籍学生（以报名时的学籍信息为准）。</w:t>
      </w:r>
    </w:p>
    <w:p w14:paraId="0DA7699C">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(二)熟悉场地</w:t>
      </w:r>
    </w:p>
    <w:p w14:paraId="1752E03D">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大赛报到当日，将由大赛组委会统一组织参赛团队，在规定时间地点，有序熟悉竞赛场地。必须严格遵守大赛相关制度，听从大赛组委会安排，不得拥挤打闹。</w:t>
      </w:r>
    </w:p>
    <w:p w14:paraId="27CCAA49">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(三)入场规则</w:t>
      </w:r>
    </w:p>
    <w:p w14:paraId="1CC8C845">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参赛选手需在指定位置检录入场，检录时提供参赛证、学生证和身份证（三证齐全）。赛前按抽签顺序进场，比赛开始15分钟后不得入场。</w:t>
      </w:r>
    </w:p>
    <w:p w14:paraId="039D0899">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(四)赛场规则</w:t>
      </w:r>
    </w:p>
    <w:p w14:paraId="5D11FE17">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1、应文明参赛，服从裁判统一指挥，尊重赛场工作人员，自觉维护赛场秩序。在参赛中出现设备故障等突发情况，要及时报告现场裁判。如参赛选手因不服从裁判而停止比赛，则以弃权处理。</w:t>
      </w:r>
    </w:p>
    <w:p w14:paraId="43BDEF5D">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2、须遵守比赛项目相关的安全操作流程，防止发生安全事故。</w:t>
      </w:r>
    </w:p>
    <w:p w14:paraId="3ABD7DB5">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3、应爱护赛场使用的设备、仪器等，不得人为损坏比赛所使用的仪器设备。</w:t>
      </w:r>
    </w:p>
    <w:p w14:paraId="7DFC3A05">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4、须严格按照规定时间进入候考区和比赛场地，不允许携带与参赛设备无关的电子产品及通讯工具，以及其他与竞赛有关的资料和书籍，不得以任何方式泄露参赛学校、选手姓名等涉及竞赛场上应该保密的信息。</w:t>
      </w:r>
    </w:p>
    <w:p w14:paraId="34758BB1">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5、对于认为有影响参赛队比赛成绩的有关行为，应向指导老师和领队反映，由指导老师和领队按大赛制度规定进行申诉。参赛选手不得利用比赛相关的微信群、QQ群、钉钉群等发表虚假信息和不当言论。</w:t>
      </w:r>
    </w:p>
    <w:p w14:paraId="38BCE98A">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(五)离场规则</w:t>
      </w:r>
    </w:p>
    <w:p w14:paraId="599D08F7">
      <w:pPr>
        <w:pageBreakBefore w:val="0"/>
        <w:wordWrap/>
        <w:overflowPunct/>
        <w:topLinePunct w:val="0"/>
        <w:bidi w:val="0"/>
        <w:spacing w:line="560" w:lineRule="exact"/>
        <w:ind w:firstLine="572" w:firstLineChars="200"/>
        <w:rPr>
          <w:rFonts w:hint="eastAsia" w:ascii="仿宋_GB2312" w:hAnsi="仿宋_GB2312" w:eastAsia="仿宋_GB2312" w:cs="仿宋_GB2312"/>
          <w:snapToGrid w:val="0"/>
          <w:color w:val="auto"/>
          <w:spacing w:val="3"/>
          <w:kern w:val="0"/>
          <w:sz w:val="28"/>
          <w:szCs w:val="28"/>
          <w:lang w:val="en-US" w:eastAsia="zh-CN" w:bidi="ar-SA"/>
        </w:rPr>
      </w:pPr>
      <w:r>
        <w:rPr>
          <w:rFonts w:hint="eastAsia" w:ascii="仿宋_GB2312" w:hAnsi="仿宋_GB2312" w:eastAsia="仿宋_GB2312" w:cs="仿宋_GB2312"/>
          <w:snapToGrid w:val="0"/>
          <w:color w:val="auto"/>
          <w:spacing w:val="3"/>
          <w:kern w:val="0"/>
          <w:sz w:val="28"/>
          <w:szCs w:val="28"/>
          <w:lang w:val="en-US" w:eastAsia="zh-CN" w:bidi="ar-SA"/>
        </w:rPr>
        <w:t>如果选手提前结束比赛，应报裁判员批准，比赛终止时间由裁判员记录在案，选手提前结束比赛后不得再进行任何比赛相关工作。裁判长在比赛结束前15分钟对选手做出提示。裁判长宣布比赛结束后，选手应立即停止各项工作。</w:t>
      </w:r>
    </w:p>
    <w:p w14:paraId="25C67EC9">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(六)成绩评定与结果公布</w:t>
      </w:r>
    </w:p>
    <w:p w14:paraId="036F5647">
      <w:pPr>
        <w:pageBreakBefore w:val="0"/>
        <w:wordWrap/>
        <w:overflowPunct/>
        <w:topLinePunct w:val="0"/>
        <w:bidi w:val="0"/>
        <w:spacing w:before="78" w:line="560" w:lineRule="exact"/>
        <w:ind w:left="46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（原则：突出能力导向、解决实际问题、体现创新因素、确保公平可比）</w:t>
      </w:r>
    </w:p>
    <w:tbl>
      <w:tblPr>
        <w:tblStyle w:val="9"/>
        <w:tblW w:w="851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14"/>
        <w:gridCol w:w="6689"/>
        <w:gridCol w:w="808"/>
      </w:tblGrid>
      <w:tr w14:paraId="1F262C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9" w:hRule="atLeast"/>
        </w:trPr>
        <w:tc>
          <w:tcPr>
            <w:tcW w:w="1014" w:type="dxa"/>
            <w:vAlign w:val="top"/>
          </w:tcPr>
          <w:p w14:paraId="0A9E92F1">
            <w:pPr>
              <w:pageBreakBefore w:val="0"/>
              <w:wordWrap/>
              <w:overflowPunct/>
              <w:topLinePunct w:val="0"/>
              <w:bidi w:val="0"/>
              <w:spacing w:before="124" w:line="560" w:lineRule="exact"/>
              <w:ind w:left="280" w:right="262" w:hanging="7"/>
              <w:rPr>
                <w:rFonts w:hint="eastAsia" w:ascii="仿宋_GB2312" w:hAnsi="仿宋_GB2312" w:eastAsia="仿宋_GB2312" w:cs="仿宋_GB2312"/>
                <w:sz w:val="28"/>
                <w:szCs w:val="28"/>
              </w:rPr>
            </w:pPr>
            <w:r>
              <w:rPr>
                <w:rFonts w:hint="eastAsia" w:ascii="仿宋_GB2312" w:hAnsi="仿宋_GB2312" w:eastAsia="仿宋_GB2312" w:cs="仿宋_GB2312"/>
                <w:b/>
                <w:bCs/>
                <w:spacing w:val="-6"/>
                <w:sz w:val="28"/>
                <w:szCs w:val="28"/>
              </w:rPr>
              <w:t>评分</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b/>
                <w:bCs/>
                <w:spacing w:val="-10"/>
                <w:sz w:val="28"/>
                <w:szCs w:val="28"/>
              </w:rPr>
              <w:t>要点</w:t>
            </w:r>
          </w:p>
        </w:tc>
        <w:tc>
          <w:tcPr>
            <w:tcW w:w="6689" w:type="dxa"/>
            <w:vAlign w:val="top"/>
          </w:tcPr>
          <w:p w14:paraId="2805106B">
            <w:pPr>
              <w:pageBreakBefore w:val="0"/>
              <w:wordWrap/>
              <w:overflowPunct/>
              <w:topLinePunct w:val="0"/>
              <w:bidi w:val="0"/>
              <w:spacing w:before="312" w:line="560" w:lineRule="exact"/>
              <w:ind w:left="2869"/>
              <w:rPr>
                <w:rFonts w:hint="eastAsia" w:ascii="仿宋_GB2312" w:hAnsi="仿宋_GB2312" w:eastAsia="仿宋_GB2312" w:cs="仿宋_GB2312"/>
                <w:sz w:val="28"/>
                <w:szCs w:val="28"/>
              </w:rPr>
            </w:pPr>
            <w:r>
              <w:rPr>
                <w:rFonts w:hint="eastAsia" w:ascii="仿宋_GB2312" w:hAnsi="仿宋_GB2312" w:eastAsia="仿宋_GB2312" w:cs="仿宋_GB2312"/>
                <w:b/>
                <w:bCs/>
                <w:spacing w:val="-4"/>
                <w:sz w:val="28"/>
                <w:szCs w:val="28"/>
              </w:rPr>
              <w:t>评审内容</w:t>
            </w:r>
          </w:p>
        </w:tc>
        <w:tc>
          <w:tcPr>
            <w:tcW w:w="808" w:type="dxa"/>
            <w:vAlign w:val="top"/>
          </w:tcPr>
          <w:p w14:paraId="53CFA44C">
            <w:pPr>
              <w:pageBreakBefore w:val="0"/>
              <w:wordWrap/>
              <w:overflowPunct/>
              <w:topLinePunct w:val="0"/>
              <w:bidi w:val="0"/>
              <w:spacing w:before="312" w:line="560" w:lineRule="exact"/>
              <w:ind w:left="175"/>
              <w:rPr>
                <w:rFonts w:hint="eastAsia" w:ascii="仿宋_GB2312" w:hAnsi="仿宋_GB2312" w:eastAsia="仿宋_GB2312" w:cs="仿宋_GB2312"/>
                <w:sz w:val="28"/>
                <w:szCs w:val="28"/>
              </w:rPr>
            </w:pPr>
            <w:r>
              <w:rPr>
                <w:rFonts w:hint="eastAsia" w:ascii="仿宋_GB2312" w:hAnsi="仿宋_GB2312" w:eastAsia="仿宋_GB2312" w:cs="仿宋_GB2312"/>
                <w:b/>
                <w:bCs/>
                <w:spacing w:val="-6"/>
                <w:sz w:val="28"/>
                <w:szCs w:val="28"/>
              </w:rPr>
              <w:t>权重</w:t>
            </w:r>
          </w:p>
        </w:tc>
      </w:tr>
      <w:tr w14:paraId="46B656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93" w:hRule="atLeast"/>
        </w:trPr>
        <w:tc>
          <w:tcPr>
            <w:tcW w:w="1014" w:type="dxa"/>
            <w:vAlign w:val="top"/>
          </w:tcPr>
          <w:p w14:paraId="4A286F7E">
            <w:pPr>
              <w:pageBreakBefore w:val="0"/>
              <w:wordWrap/>
              <w:overflowPunct/>
              <w:topLinePunct w:val="0"/>
              <w:bidi w:val="0"/>
              <w:spacing w:before="305" w:line="560" w:lineRule="exact"/>
              <w:ind w:left="272" w:right="265" w:firstLine="3"/>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技能</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5"/>
                <w:sz w:val="28"/>
                <w:szCs w:val="28"/>
              </w:rPr>
              <w:t>水平</w:t>
            </w:r>
          </w:p>
        </w:tc>
        <w:tc>
          <w:tcPr>
            <w:tcW w:w="6689" w:type="dxa"/>
            <w:vAlign w:val="top"/>
          </w:tcPr>
          <w:p w14:paraId="452CC1C1">
            <w:pPr>
              <w:pageBreakBefore w:val="0"/>
              <w:wordWrap/>
              <w:overflowPunct/>
              <w:topLinePunct w:val="0"/>
              <w:bidi w:val="0"/>
              <w:spacing w:before="117" w:line="560" w:lineRule="exact"/>
              <w:ind w:left="132"/>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1.  熟练掌握本专业或工作岗位的技能。</w:t>
            </w:r>
          </w:p>
          <w:p w14:paraId="3A5BDE48">
            <w:pPr>
              <w:pageBreakBefore w:val="0"/>
              <w:wordWrap/>
              <w:overflowPunct/>
              <w:topLinePunct w:val="0"/>
              <w:bidi w:val="0"/>
              <w:spacing w:before="93" w:line="560" w:lineRule="exact"/>
              <w:ind w:left="109"/>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2.  技能操作规范，符合行业和岗位标准。</w:t>
            </w:r>
          </w:p>
          <w:p w14:paraId="15E5DB67">
            <w:pPr>
              <w:pageBreakBefore w:val="0"/>
              <w:wordWrap/>
              <w:overflowPunct/>
              <w:topLinePunct w:val="0"/>
              <w:bidi w:val="0"/>
              <w:spacing w:before="91" w:line="560" w:lineRule="exact"/>
              <w:ind w:left="113"/>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3.  具备较高的技能操作水平及解决复杂问题的综合能力。</w:t>
            </w:r>
          </w:p>
        </w:tc>
        <w:tc>
          <w:tcPr>
            <w:tcW w:w="808" w:type="dxa"/>
            <w:vAlign w:val="top"/>
          </w:tcPr>
          <w:p w14:paraId="235E93AC">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121540A1">
            <w:pPr>
              <w:pageBreakBefore w:val="0"/>
              <w:wordWrap/>
              <w:overflowPunct/>
              <w:topLinePunct w:val="0"/>
              <w:bidi w:val="0"/>
              <w:spacing w:before="69" w:line="560" w:lineRule="exact"/>
              <w:ind w:left="192"/>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60%</w:t>
            </w:r>
          </w:p>
        </w:tc>
      </w:tr>
      <w:tr w14:paraId="28DA39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69" w:hRule="atLeast"/>
        </w:trPr>
        <w:tc>
          <w:tcPr>
            <w:tcW w:w="1014" w:type="dxa"/>
            <w:vAlign w:val="top"/>
          </w:tcPr>
          <w:p w14:paraId="542CCD0E">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1FDFE69D">
            <w:pPr>
              <w:pageBreakBefore w:val="0"/>
              <w:wordWrap/>
              <w:overflowPunct/>
              <w:topLinePunct w:val="0"/>
              <w:bidi w:val="0"/>
              <w:spacing w:before="78" w:line="560" w:lineRule="exact"/>
              <w:ind w:left="283" w:right="265"/>
              <w:rPr>
                <w:rFonts w:hint="eastAsia" w:ascii="仿宋_GB2312" w:hAnsi="仿宋_GB2312" w:eastAsia="仿宋_GB2312" w:cs="仿宋_GB2312"/>
                <w:sz w:val="28"/>
                <w:szCs w:val="28"/>
              </w:rPr>
            </w:pPr>
            <w:r>
              <w:rPr>
                <w:rFonts w:hint="eastAsia" w:ascii="仿宋_GB2312" w:hAnsi="仿宋_GB2312" w:eastAsia="仿宋_GB2312" w:cs="仿宋_GB2312"/>
                <w:spacing w:val="-10"/>
                <w:sz w:val="28"/>
                <w:szCs w:val="28"/>
              </w:rPr>
              <w:t>职业</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0"/>
                <w:sz w:val="28"/>
                <w:szCs w:val="28"/>
              </w:rPr>
              <w:t>素养</w:t>
            </w:r>
          </w:p>
        </w:tc>
        <w:tc>
          <w:tcPr>
            <w:tcW w:w="6689" w:type="dxa"/>
            <w:vAlign w:val="top"/>
          </w:tcPr>
          <w:p w14:paraId="609755E7">
            <w:pPr>
              <w:pageBreakBefore w:val="0"/>
              <w:wordWrap/>
              <w:overflowPunct/>
              <w:topLinePunct w:val="0"/>
              <w:bidi w:val="0"/>
              <w:spacing w:before="121" w:line="560" w:lineRule="exact"/>
              <w:ind w:left="132"/>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1.  展现较好的职业伦理，具有工匠精神。</w:t>
            </w:r>
          </w:p>
          <w:p w14:paraId="0DB38ACF">
            <w:pPr>
              <w:pageBreakBefore w:val="0"/>
              <w:wordWrap/>
              <w:overflowPunct/>
              <w:topLinePunct w:val="0"/>
              <w:bidi w:val="0"/>
              <w:spacing w:before="91" w:line="560" w:lineRule="exact"/>
              <w:jc w:val="right"/>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2.  展现学校对学生全面培养、基本素养培育和成长发展的成效。</w:t>
            </w:r>
          </w:p>
          <w:p w14:paraId="01EC5A1F">
            <w:pPr>
              <w:pageBreakBefore w:val="0"/>
              <w:wordWrap/>
              <w:overflowPunct/>
              <w:topLinePunct w:val="0"/>
              <w:bidi w:val="0"/>
              <w:spacing w:before="90" w:line="560" w:lineRule="exact"/>
              <w:ind w:left="113"/>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3.  展现职业教育育人成果，体现产教融合、科教</w:t>
            </w:r>
            <w:r>
              <w:rPr>
                <w:rFonts w:hint="eastAsia" w:ascii="仿宋_GB2312" w:hAnsi="仿宋_GB2312" w:eastAsia="仿宋_GB2312" w:cs="仿宋_GB2312"/>
                <w:spacing w:val="-3"/>
                <w:sz w:val="28"/>
                <w:szCs w:val="28"/>
              </w:rPr>
              <w:t>融汇。</w:t>
            </w:r>
          </w:p>
          <w:p w14:paraId="180932C4">
            <w:pPr>
              <w:pageBreakBefore w:val="0"/>
              <w:wordWrap/>
              <w:overflowPunct/>
              <w:topLinePunct w:val="0"/>
              <w:bidi w:val="0"/>
              <w:spacing w:before="90" w:line="560" w:lineRule="exact"/>
              <w:ind w:left="107"/>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4.  具备良好的职业道德、职业精神、职业</w:t>
            </w:r>
            <w:r>
              <w:rPr>
                <w:rFonts w:hint="eastAsia" w:ascii="仿宋_GB2312" w:hAnsi="仿宋_GB2312" w:eastAsia="仿宋_GB2312" w:cs="仿宋_GB2312"/>
                <w:spacing w:val="-3"/>
                <w:sz w:val="28"/>
                <w:szCs w:val="28"/>
              </w:rPr>
              <w:t>素养。</w:t>
            </w:r>
          </w:p>
        </w:tc>
        <w:tc>
          <w:tcPr>
            <w:tcW w:w="808" w:type="dxa"/>
            <w:vAlign w:val="top"/>
          </w:tcPr>
          <w:p w14:paraId="0154379A">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23F72CF9">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434C9FB6">
            <w:pPr>
              <w:pageBreakBefore w:val="0"/>
              <w:wordWrap/>
              <w:overflowPunct/>
              <w:topLinePunct w:val="0"/>
              <w:bidi w:val="0"/>
              <w:spacing w:before="69" w:line="560" w:lineRule="exact"/>
              <w:ind w:left="210"/>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10%</w:t>
            </w:r>
          </w:p>
        </w:tc>
      </w:tr>
      <w:tr w14:paraId="283592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7" w:hRule="atLeast"/>
        </w:trPr>
        <w:tc>
          <w:tcPr>
            <w:tcW w:w="1014" w:type="dxa"/>
            <w:vAlign w:val="top"/>
          </w:tcPr>
          <w:p w14:paraId="3B39726F">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18254CDD">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688F46B5">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6BC9B9AD">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276A2E8B">
            <w:pPr>
              <w:pageBreakBefore w:val="0"/>
              <w:wordWrap/>
              <w:overflowPunct/>
              <w:topLinePunct w:val="0"/>
              <w:bidi w:val="0"/>
              <w:spacing w:before="78" w:line="560" w:lineRule="exact"/>
              <w:ind w:left="273" w:right="265" w:firstLine="5"/>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应用</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5"/>
                <w:sz w:val="28"/>
                <w:szCs w:val="28"/>
              </w:rPr>
              <w:t>价值</w:t>
            </w:r>
          </w:p>
        </w:tc>
        <w:tc>
          <w:tcPr>
            <w:tcW w:w="6689" w:type="dxa"/>
            <w:vAlign w:val="top"/>
          </w:tcPr>
          <w:p w14:paraId="4899D1F7">
            <w:pPr>
              <w:pageBreakBefore w:val="0"/>
              <w:wordWrap/>
              <w:overflowPunct/>
              <w:topLinePunct w:val="0"/>
              <w:bidi w:val="0"/>
              <w:spacing w:before="121" w:line="560" w:lineRule="exact"/>
              <w:ind w:left="132"/>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1.  有助于解决生产一线实际问题或现实困难。</w:t>
            </w:r>
          </w:p>
          <w:p w14:paraId="49759570">
            <w:pPr>
              <w:pageBreakBefore w:val="0"/>
              <w:wordWrap/>
              <w:overflowPunct/>
              <w:topLinePunct w:val="0"/>
              <w:bidi w:val="0"/>
              <w:spacing w:before="89" w:line="560" w:lineRule="exact"/>
              <w:ind w:left="115" w:right="104" w:hanging="6"/>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2.</w:t>
            </w:r>
            <w:r>
              <w:rPr>
                <w:rFonts w:hint="eastAsia" w:ascii="仿宋_GB2312" w:hAnsi="仿宋_GB2312" w:eastAsia="仿宋_GB2312" w:cs="仿宋_GB2312"/>
                <w:spacing w:val="20"/>
                <w:sz w:val="28"/>
                <w:szCs w:val="28"/>
              </w:rPr>
              <w:t xml:space="preserve">  </w:t>
            </w:r>
            <w:r>
              <w:rPr>
                <w:rFonts w:hint="eastAsia" w:ascii="仿宋_GB2312" w:hAnsi="仿宋_GB2312" w:eastAsia="仿宋_GB2312" w:cs="仿宋_GB2312"/>
                <w:spacing w:val="-4"/>
                <w:sz w:val="28"/>
                <w:szCs w:val="28"/>
              </w:rPr>
              <w:t>能够促进职业学校学生高质量就业，包括直接间接推动扩大</w:t>
            </w:r>
            <w:r>
              <w:rPr>
                <w:rFonts w:hint="eastAsia" w:ascii="仿宋_GB2312" w:hAnsi="仿宋_GB2312" w:eastAsia="仿宋_GB2312" w:cs="仿宋_GB2312"/>
                <w:spacing w:val="1"/>
                <w:sz w:val="28"/>
                <w:szCs w:val="28"/>
              </w:rPr>
              <w:t xml:space="preserve"> </w:t>
            </w:r>
            <w:r>
              <w:rPr>
                <w:rFonts w:hint="eastAsia" w:ascii="仿宋_GB2312" w:hAnsi="仿宋_GB2312" w:eastAsia="仿宋_GB2312" w:cs="仿宋_GB2312"/>
                <w:spacing w:val="-9"/>
                <w:sz w:val="28"/>
                <w:szCs w:val="28"/>
              </w:rPr>
              <w:t>就业规模等。</w:t>
            </w:r>
          </w:p>
          <w:p w14:paraId="5D1AFA88">
            <w:pPr>
              <w:pageBreakBefore w:val="0"/>
              <w:wordWrap/>
              <w:overflowPunct/>
              <w:topLinePunct w:val="0"/>
              <w:bidi w:val="0"/>
              <w:spacing w:before="87" w:line="560" w:lineRule="exact"/>
              <w:ind w:left="125" w:right="104" w:hanging="12"/>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3.  对推动产业转型升级、区域经济发展、乡村振兴、城市社区</w:t>
            </w:r>
            <w:r>
              <w:rPr>
                <w:rFonts w:hint="eastAsia" w:ascii="仿宋_GB2312" w:hAnsi="仿宋_GB2312" w:eastAsia="仿宋_GB2312" w:cs="仿宋_GB2312"/>
                <w:spacing w:val="14"/>
                <w:sz w:val="28"/>
                <w:szCs w:val="28"/>
              </w:rPr>
              <w:t xml:space="preserve"> </w:t>
            </w:r>
            <w:r>
              <w:rPr>
                <w:rFonts w:hint="eastAsia" w:ascii="仿宋_GB2312" w:hAnsi="仿宋_GB2312" w:eastAsia="仿宋_GB2312" w:cs="仿宋_GB2312"/>
                <w:spacing w:val="-4"/>
                <w:sz w:val="28"/>
                <w:szCs w:val="28"/>
              </w:rPr>
              <w:t>治理、城乡融合发展等具有积极作用。</w:t>
            </w:r>
          </w:p>
          <w:p w14:paraId="52CE2873">
            <w:pPr>
              <w:pageBreakBefore w:val="0"/>
              <w:wordWrap/>
              <w:overflowPunct/>
              <w:topLinePunct w:val="0"/>
              <w:bidi w:val="0"/>
              <w:spacing w:before="95" w:line="560" w:lineRule="exact"/>
              <w:ind w:left="125" w:right="104" w:hanging="18"/>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4.  符合绿色低碳节能的可持续发展理念，</w:t>
            </w:r>
            <w:r>
              <w:rPr>
                <w:rFonts w:hint="eastAsia" w:ascii="仿宋_GB2312" w:hAnsi="仿宋_GB2312" w:eastAsia="仿宋_GB2312" w:cs="仿宋_GB2312"/>
                <w:spacing w:val="-37"/>
                <w:sz w:val="28"/>
                <w:szCs w:val="28"/>
              </w:rPr>
              <w:t xml:space="preserve"> </w:t>
            </w:r>
            <w:r>
              <w:rPr>
                <w:rFonts w:hint="eastAsia" w:ascii="仿宋_GB2312" w:hAnsi="仿宋_GB2312" w:eastAsia="仿宋_GB2312" w:cs="仿宋_GB2312"/>
                <w:spacing w:val="3"/>
                <w:sz w:val="28"/>
                <w:szCs w:val="28"/>
              </w:rPr>
              <w:t>有利于改善人民生</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6"/>
                <w:sz w:val="28"/>
                <w:szCs w:val="28"/>
              </w:rPr>
              <w:t>活、提升人民生活质量。</w:t>
            </w:r>
          </w:p>
        </w:tc>
        <w:tc>
          <w:tcPr>
            <w:tcW w:w="808" w:type="dxa"/>
            <w:vAlign w:val="top"/>
          </w:tcPr>
          <w:p w14:paraId="3A34B395">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01F5651A">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0D6AD940">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6D76B023">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0852F74A">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40EB2AEA">
            <w:pPr>
              <w:pageBreakBefore w:val="0"/>
              <w:wordWrap/>
              <w:overflowPunct/>
              <w:topLinePunct w:val="0"/>
              <w:bidi w:val="0"/>
              <w:spacing w:before="69" w:line="560" w:lineRule="exact"/>
              <w:ind w:left="210"/>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10%</w:t>
            </w:r>
          </w:p>
        </w:tc>
      </w:tr>
      <w:tr w14:paraId="314D3A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42" w:hRule="atLeast"/>
        </w:trPr>
        <w:tc>
          <w:tcPr>
            <w:tcW w:w="1014" w:type="dxa"/>
            <w:vAlign w:val="top"/>
          </w:tcPr>
          <w:p w14:paraId="68A9F0B2">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4E7F01F3">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3EE459AC">
            <w:pPr>
              <w:pageBreakBefore w:val="0"/>
              <w:wordWrap/>
              <w:overflowPunct/>
              <w:topLinePunct w:val="0"/>
              <w:bidi w:val="0"/>
              <w:spacing w:before="78" w:line="560" w:lineRule="exact"/>
              <w:ind w:left="276" w:right="265" w:firstLine="21"/>
              <w:rPr>
                <w:rFonts w:hint="eastAsia" w:ascii="仿宋_GB2312" w:hAnsi="仿宋_GB2312" w:eastAsia="仿宋_GB2312" w:cs="仿宋_GB2312"/>
                <w:sz w:val="28"/>
                <w:szCs w:val="28"/>
              </w:rPr>
            </w:pPr>
            <w:r>
              <w:rPr>
                <w:rFonts w:hint="eastAsia" w:ascii="仿宋_GB2312" w:hAnsi="仿宋_GB2312" w:eastAsia="仿宋_GB2312" w:cs="仿宋_GB2312"/>
                <w:spacing w:val="-17"/>
                <w:sz w:val="28"/>
                <w:szCs w:val="28"/>
              </w:rPr>
              <w:t>团队</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7"/>
                <w:sz w:val="28"/>
                <w:szCs w:val="28"/>
              </w:rPr>
              <w:t>合作</w:t>
            </w:r>
          </w:p>
        </w:tc>
        <w:tc>
          <w:tcPr>
            <w:tcW w:w="6689" w:type="dxa"/>
            <w:vAlign w:val="top"/>
          </w:tcPr>
          <w:p w14:paraId="0D687FDC">
            <w:pPr>
              <w:pageBreakBefore w:val="0"/>
              <w:wordWrap/>
              <w:overflowPunct/>
              <w:topLinePunct w:val="0"/>
              <w:bidi w:val="0"/>
              <w:spacing w:before="123" w:line="560" w:lineRule="exact"/>
              <w:ind w:left="109" w:right="103" w:firstLine="22"/>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1.</w:t>
            </w:r>
            <w:r>
              <w:rPr>
                <w:rFonts w:hint="eastAsia" w:ascii="仿宋_GB2312" w:hAnsi="仿宋_GB2312" w:eastAsia="仿宋_GB2312" w:cs="仿宋_GB2312"/>
                <w:spacing w:val="23"/>
                <w:sz w:val="28"/>
                <w:szCs w:val="28"/>
              </w:rPr>
              <w:t xml:space="preserve">  </w:t>
            </w:r>
            <w:r>
              <w:rPr>
                <w:rFonts w:hint="eastAsia" w:ascii="仿宋_GB2312" w:hAnsi="仿宋_GB2312" w:eastAsia="仿宋_GB2312" w:cs="仿宋_GB2312"/>
                <w:spacing w:val="-5"/>
                <w:sz w:val="28"/>
                <w:szCs w:val="28"/>
              </w:rPr>
              <w:t>团队成员能够准确理解共同目标和任务，清楚自己的角色定</w:t>
            </w:r>
            <w:r>
              <w:rPr>
                <w:rFonts w:hint="eastAsia" w:ascii="仿宋_GB2312" w:hAnsi="仿宋_GB2312" w:eastAsia="仿宋_GB2312" w:cs="仿宋_GB2312"/>
                <w:spacing w:val="1"/>
                <w:sz w:val="28"/>
                <w:szCs w:val="28"/>
              </w:rPr>
              <w:t xml:space="preserve"> </w:t>
            </w:r>
            <w:r>
              <w:rPr>
                <w:rFonts w:hint="eastAsia" w:ascii="仿宋_GB2312" w:hAnsi="仿宋_GB2312" w:eastAsia="仿宋_GB2312" w:cs="仿宋_GB2312"/>
                <w:spacing w:val="-9"/>
                <w:sz w:val="28"/>
                <w:szCs w:val="28"/>
              </w:rPr>
              <w:t>位和职责。</w:t>
            </w:r>
          </w:p>
          <w:p w14:paraId="363D733F">
            <w:pPr>
              <w:pageBreakBefore w:val="0"/>
              <w:wordWrap/>
              <w:overflowPunct/>
              <w:topLinePunct w:val="0"/>
              <w:bidi w:val="0"/>
              <w:spacing w:before="89" w:line="560" w:lineRule="exact"/>
              <w:ind w:left="109"/>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2.</w:t>
            </w:r>
            <w:r>
              <w:rPr>
                <w:rFonts w:hint="eastAsia" w:ascii="仿宋_GB2312" w:hAnsi="仿宋_GB2312" w:eastAsia="仿宋_GB2312" w:cs="仿宋_GB2312"/>
                <w:spacing w:val="18"/>
                <w:w w:val="101"/>
                <w:sz w:val="28"/>
                <w:szCs w:val="28"/>
              </w:rPr>
              <w:t xml:space="preserve">  </w:t>
            </w:r>
            <w:r>
              <w:rPr>
                <w:rFonts w:hint="eastAsia" w:ascii="仿宋_GB2312" w:hAnsi="仿宋_GB2312" w:eastAsia="仿宋_GB2312" w:cs="仿宋_GB2312"/>
                <w:spacing w:val="-4"/>
                <w:sz w:val="28"/>
                <w:szCs w:val="28"/>
              </w:rPr>
              <w:t>团队成员在比赛中能够有效沟通、紧密协作。</w:t>
            </w:r>
          </w:p>
          <w:p w14:paraId="270C2E27">
            <w:pPr>
              <w:pageBreakBefore w:val="0"/>
              <w:wordWrap/>
              <w:overflowPunct/>
              <w:topLinePunct w:val="0"/>
              <w:bidi w:val="0"/>
              <w:spacing w:before="94" w:line="560" w:lineRule="exact"/>
              <w:ind w:left="113"/>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3.</w:t>
            </w:r>
            <w:r>
              <w:rPr>
                <w:rFonts w:hint="eastAsia" w:ascii="仿宋_GB2312" w:hAnsi="仿宋_GB2312" w:eastAsia="仿宋_GB2312" w:cs="仿宋_GB2312"/>
                <w:spacing w:val="17"/>
                <w:sz w:val="28"/>
                <w:szCs w:val="28"/>
              </w:rPr>
              <w:t xml:space="preserve">  </w:t>
            </w:r>
            <w:r>
              <w:rPr>
                <w:rFonts w:hint="eastAsia" w:ascii="仿宋_GB2312" w:hAnsi="仿宋_GB2312" w:eastAsia="仿宋_GB2312" w:cs="仿宋_GB2312"/>
                <w:spacing w:val="-4"/>
                <w:sz w:val="28"/>
                <w:szCs w:val="28"/>
              </w:rPr>
              <w:t>团队成员能够相互补台，共同应对突发情</w:t>
            </w:r>
            <w:r>
              <w:rPr>
                <w:rFonts w:hint="eastAsia" w:ascii="仿宋_GB2312" w:hAnsi="仿宋_GB2312" w:eastAsia="仿宋_GB2312" w:cs="仿宋_GB2312"/>
                <w:spacing w:val="-5"/>
                <w:sz w:val="28"/>
                <w:szCs w:val="28"/>
              </w:rPr>
              <w:t>况。</w:t>
            </w:r>
          </w:p>
          <w:p w14:paraId="6501A5A6">
            <w:pPr>
              <w:pageBreakBefore w:val="0"/>
              <w:wordWrap/>
              <w:overflowPunct/>
              <w:topLinePunct w:val="0"/>
              <w:bidi w:val="0"/>
              <w:spacing w:before="90" w:line="560" w:lineRule="exact"/>
              <w:ind w:left="107"/>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4.</w:t>
            </w:r>
            <w:r>
              <w:rPr>
                <w:rFonts w:hint="eastAsia" w:ascii="仿宋_GB2312" w:hAnsi="仿宋_GB2312" w:eastAsia="仿宋_GB2312" w:cs="仿宋_GB2312"/>
                <w:spacing w:val="17"/>
                <w:sz w:val="28"/>
                <w:szCs w:val="28"/>
              </w:rPr>
              <w:t xml:space="preserve">  </w:t>
            </w:r>
            <w:r>
              <w:rPr>
                <w:rFonts w:hint="eastAsia" w:ascii="仿宋_GB2312" w:hAnsi="仿宋_GB2312" w:eastAsia="仿宋_GB2312" w:cs="仿宋_GB2312"/>
                <w:spacing w:val="-3"/>
                <w:sz w:val="28"/>
                <w:szCs w:val="28"/>
              </w:rPr>
              <w:t>团队成员相互尊重、信任和支持，拥有良好的团</w:t>
            </w:r>
            <w:r>
              <w:rPr>
                <w:rFonts w:hint="eastAsia" w:ascii="仿宋_GB2312" w:hAnsi="仿宋_GB2312" w:eastAsia="仿宋_GB2312" w:cs="仿宋_GB2312"/>
                <w:spacing w:val="-4"/>
                <w:sz w:val="28"/>
                <w:szCs w:val="28"/>
              </w:rPr>
              <w:t>队氛围。</w:t>
            </w:r>
          </w:p>
        </w:tc>
        <w:tc>
          <w:tcPr>
            <w:tcW w:w="808" w:type="dxa"/>
            <w:vAlign w:val="top"/>
          </w:tcPr>
          <w:p w14:paraId="61ECDDA8">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46D5FBE7">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4C57C021">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7B5684D5">
            <w:pPr>
              <w:pageBreakBefore w:val="0"/>
              <w:wordWrap/>
              <w:overflowPunct/>
              <w:topLinePunct w:val="0"/>
              <w:bidi w:val="0"/>
              <w:spacing w:before="69" w:line="560" w:lineRule="exact"/>
              <w:ind w:left="210"/>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10%</w:t>
            </w:r>
          </w:p>
        </w:tc>
      </w:tr>
      <w:tr w14:paraId="292EDC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48" w:hRule="atLeast"/>
        </w:trPr>
        <w:tc>
          <w:tcPr>
            <w:tcW w:w="1014" w:type="dxa"/>
            <w:vAlign w:val="top"/>
          </w:tcPr>
          <w:p w14:paraId="7CE5785E">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31A94B21">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52D670F8">
            <w:pPr>
              <w:pageBreakBefore w:val="0"/>
              <w:wordWrap/>
              <w:overflowPunct/>
              <w:topLinePunct w:val="0"/>
              <w:bidi w:val="0"/>
              <w:spacing w:before="78" w:line="560" w:lineRule="exact"/>
              <w:ind w:left="267" w:right="265"/>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创新</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2"/>
                <w:sz w:val="28"/>
                <w:szCs w:val="28"/>
              </w:rPr>
              <w:t>创意</w:t>
            </w:r>
          </w:p>
        </w:tc>
        <w:tc>
          <w:tcPr>
            <w:tcW w:w="6689" w:type="dxa"/>
            <w:vAlign w:val="top"/>
          </w:tcPr>
          <w:p w14:paraId="747B351F">
            <w:pPr>
              <w:pageBreakBefore w:val="0"/>
              <w:wordWrap/>
              <w:overflowPunct/>
              <w:topLinePunct w:val="0"/>
              <w:bidi w:val="0"/>
              <w:spacing w:before="124" w:line="560" w:lineRule="exact"/>
              <w:ind w:left="132"/>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1.  体现原始创意、创新。</w:t>
            </w:r>
          </w:p>
          <w:p w14:paraId="60E3C187">
            <w:pPr>
              <w:pageBreakBefore w:val="0"/>
              <w:wordWrap/>
              <w:overflowPunct/>
              <w:topLinePunct w:val="0"/>
              <w:bidi w:val="0"/>
              <w:spacing w:before="89" w:line="560" w:lineRule="exact"/>
              <w:ind w:left="125" w:right="84" w:hanging="16"/>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2.  体现面向职业和岗位的创意及创新，侧重于</w:t>
            </w:r>
            <w:r>
              <w:rPr>
                <w:rFonts w:hint="eastAsia" w:ascii="仿宋_GB2312" w:hAnsi="仿宋_GB2312" w:eastAsia="仿宋_GB2312" w:cs="仿宋_GB2312"/>
                <w:spacing w:val="-2"/>
                <w:sz w:val="28"/>
                <w:szCs w:val="28"/>
                <w:lang w:val="en-US" w:eastAsia="zh-CN"/>
              </w:rPr>
              <w:t>数字化计量计价创新</w:t>
            </w:r>
            <w:r>
              <w:rPr>
                <w:rFonts w:hint="eastAsia" w:ascii="仿宋_GB2312" w:hAnsi="仿宋_GB2312" w:eastAsia="仿宋_GB2312" w:cs="仿宋_GB2312"/>
                <w:spacing w:val="-2"/>
                <w:sz w:val="28"/>
                <w:szCs w:val="28"/>
              </w:rPr>
              <w:t>、</w:t>
            </w:r>
            <w:r>
              <w:rPr>
                <w:rFonts w:hint="eastAsia" w:ascii="仿宋_GB2312" w:hAnsi="仿宋_GB2312" w:eastAsia="仿宋_GB2312" w:cs="仿宋_GB2312"/>
                <w:spacing w:val="9"/>
                <w:sz w:val="28"/>
                <w:szCs w:val="28"/>
              </w:rPr>
              <w:t xml:space="preserve"> </w:t>
            </w:r>
            <w:r>
              <w:rPr>
                <w:rFonts w:hint="eastAsia" w:ascii="仿宋_GB2312" w:hAnsi="仿宋_GB2312" w:eastAsia="仿宋_GB2312" w:cs="仿宋_GB2312"/>
                <w:spacing w:val="-1"/>
                <w:sz w:val="28"/>
                <w:szCs w:val="28"/>
              </w:rPr>
              <w:t>实用技术创新、产品（技术）数字化改良、应用性优化、民生</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2"/>
                <w:sz w:val="28"/>
                <w:szCs w:val="28"/>
              </w:rPr>
              <w:t>类创意等。</w:t>
            </w:r>
          </w:p>
          <w:p w14:paraId="747CEB7F">
            <w:pPr>
              <w:pageBreakBefore w:val="0"/>
              <w:wordWrap/>
              <w:overflowPunct/>
              <w:topLinePunct w:val="0"/>
              <w:bidi w:val="0"/>
              <w:spacing w:before="89" w:line="560" w:lineRule="exact"/>
              <w:ind w:left="113"/>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3.  体现团队成员创新精神和创新能力。</w:t>
            </w:r>
          </w:p>
        </w:tc>
        <w:tc>
          <w:tcPr>
            <w:tcW w:w="808" w:type="dxa"/>
            <w:vAlign w:val="top"/>
          </w:tcPr>
          <w:p w14:paraId="448508E0">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7AAB83ED">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557D01AA">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5429FC14">
            <w:pPr>
              <w:pageBreakBefore w:val="0"/>
              <w:wordWrap/>
              <w:overflowPunct/>
              <w:topLinePunct w:val="0"/>
              <w:bidi w:val="0"/>
              <w:spacing w:before="69" w:line="560" w:lineRule="exact"/>
              <w:ind w:left="210"/>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10%</w:t>
            </w:r>
          </w:p>
        </w:tc>
      </w:tr>
    </w:tbl>
    <w:p w14:paraId="58A7A3D8">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八、技术规范</w:t>
      </w:r>
    </w:p>
    <w:p w14:paraId="2F120340">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27" w:right="11" w:firstLine="537"/>
        <w:jc w:val="left"/>
        <w:textAlignment w:val="baseline"/>
        <w:rPr>
          <w:rFonts w:hint="eastAsia" w:ascii="仿宋_GB2312" w:hAnsi="仿宋_GB2312" w:eastAsia="仿宋_GB2312" w:cs="仿宋_GB2312"/>
          <w:snapToGrid w:val="0"/>
          <w:color w:val="auto"/>
          <w:spacing w:val="3"/>
          <w:kern w:val="0"/>
          <w:sz w:val="28"/>
          <w:szCs w:val="28"/>
          <w:lang w:val="en-US" w:eastAsia="zh-CN" w:bidi="ar-SA"/>
        </w:rPr>
      </w:pPr>
      <w:r>
        <w:rPr>
          <w:rFonts w:hint="eastAsia" w:ascii="仿宋_GB2312" w:hAnsi="仿宋_GB2312" w:eastAsia="仿宋_GB2312" w:cs="仿宋_GB2312"/>
          <w:snapToGrid w:val="0"/>
          <w:color w:val="auto"/>
          <w:spacing w:val="3"/>
          <w:kern w:val="0"/>
          <w:sz w:val="28"/>
          <w:szCs w:val="28"/>
          <w:lang w:val="en-US" w:eastAsia="zh-CN" w:bidi="ar-SA"/>
        </w:rPr>
        <w:t>主要依据相关国家技能规范和标准，注重考核基本技能，体现标准程序，结合岗位实际，考核职业综合能力，并对技术技能型人才培养起到示范引领作用。根据竞赛文件制定标准，主要采用以下标准、规范及参考资料：</w:t>
      </w:r>
    </w:p>
    <w:p w14:paraId="018354DA">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48"/>
        <w:jc w:val="left"/>
        <w:textAlignment w:val="baseline"/>
        <w:rPr>
          <w:rFonts w:hint="eastAsia" w:ascii="仿宋_GB2312" w:hAnsi="仿宋_GB2312" w:eastAsia="仿宋_GB2312" w:cs="仿宋_GB2312"/>
          <w:snapToGrid w:val="0"/>
          <w:color w:val="auto"/>
          <w:spacing w:val="3"/>
          <w:kern w:val="0"/>
          <w:sz w:val="28"/>
          <w:szCs w:val="28"/>
          <w:lang w:val="en-US" w:eastAsia="zh-CN" w:bidi="ar-SA"/>
        </w:rPr>
      </w:pPr>
      <w:r>
        <w:rPr>
          <w:rFonts w:hint="eastAsia" w:ascii="仿宋_GB2312" w:hAnsi="仿宋_GB2312" w:eastAsia="仿宋_GB2312" w:cs="仿宋_GB2312"/>
          <w:snapToGrid w:val="0"/>
          <w:color w:val="auto"/>
          <w:spacing w:val="3"/>
          <w:kern w:val="0"/>
          <w:sz w:val="28"/>
          <w:szCs w:val="28"/>
          <w:lang w:val="en-US" w:eastAsia="zh-CN" w:bidi="ar-SA"/>
        </w:rPr>
        <w:t>（1）《建筑工程建筑面积计算规范》GB/T-50353-2013；</w:t>
      </w:r>
    </w:p>
    <w:p w14:paraId="3CEE569B">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48"/>
        <w:jc w:val="left"/>
        <w:textAlignment w:val="baseline"/>
        <w:rPr>
          <w:rFonts w:hint="eastAsia" w:ascii="仿宋_GB2312" w:hAnsi="仿宋_GB2312" w:eastAsia="仿宋_GB2312" w:cs="仿宋_GB2312"/>
          <w:snapToGrid w:val="0"/>
          <w:color w:val="auto"/>
          <w:spacing w:val="3"/>
          <w:kern w:val="0"/>
          <w:sz w:val="28"/>
          <w:szCs w:val="28"/>
          <w:lang w:val="en-US" w:eastAsia="zh-CN" w:bidi="ar-SA"/>
        </w:rPr>
      </w:pPr>
      <w:r>
        <w:rPr>
          <w:rFonts w:hint="eastAsia" w:ascii="仿宋_GB2312" w:hAnsi="仿宋_GB2312" w:eastAsia="仿宋_GB2312" w:cs="仿宋_GB2312"/>
          <w:snapToGrid w:val="0"/>
          <w:color w:val="auto"/>
          <w:spacing w:val="3"/>
          <w:kern w:val="0"/>
          <w:sz w:val="28"/>
          <w:szCs w:val="28"/>
          <w:lang w:val="en-US" w:eastAsia="zh-CN" w:bidi="ar-SA"/>
        </w:rPr>
        <w:t>（2）《建设工程工程量清单计价规范》GB50500-2013；</w:t>
      </w:r>
    </w:p>
    <w:p w14:paraId="3EDB0765">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48"/>
        <w:jc w:val="left"/>
        <w:textAlignment w:val="baseline"/>
        <w:rPr>
          <w:rFonts w:hint="eastAsia" w:ascii="仿宋_GB2312" w:hAnsi="仿宋_GB2312" w:eastAsia="仿宋_GB2312" w:cs="仿宋_GB2312"/>
          <w:snapToGrid w:val="0"/>
          <w:color w:val="auto"/>
          <w:spacing w:val="3"/>
          <w:kern w:val="0"/>
          <w:sz w:val="28"/>
          <w:szCs w:val="28"/>
          <w:lang w:val="en-US" w:eastAsia="zh-CN" w:bidi="ar-SA"/>
        </w:rPr>
      </w:pPr>
      <w:r>
        <w:rPr>
          <w:rFonts w:hint="eastAsia" w:ascii="仿宋_GB2312" w:hAnsi="仿宋_GB2312" w:eastAsia="仿宋_GB2312" w:cs="仿宋_GB2312"/>
          <w:snapToGrid w:val="0"/>
          <w:color w:val="auto"/>
          <w:spacing w:val="3"/>
          <w:kern w:val="0"/>
          <w:sz w:val="28"/>
          <w:szCs w:val="28"/>
          <w:lang w:val="en-US" w:eastAsia="zh-CN" w:bidi="ar-SA"/>
        </w:rPr>
        <w:t>（3）《房屋建筑与装饰工程工程量计算规范》GB50854-2013；</w:t>
      </w:r>
    </w:p>
    <w:p w14:paraId="2B7D0CD7">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48"/>
        <w:jc w:val="left"/>
        <w:textAlignment w:val="baseline"/>
        <w:rPr>
          <w:rFonts w:hint="eastAsia" w:ascii="仿宋_GB2312" w:hAnsi="仿宋_GB2312" w:eastAsia="仿宋_GB2312" w:cs="仿宋_GB2312"/>
          <w:snapToGrid w:val="0"/>
          <w:color w:val="auto"/>
          <w:spacing w:val="3"/>
          <w:kern w:val="0"/>
          <w:sz w:val="28"/>
          <w:szCs w:val="28"/>
          <w:lang w:val="en-US" w:eastAsia="zh-CN" w:bidi="ar-SA"/>
        </w:rPr>
      </w:pPr>
      <w:r>
        <w:rPr>
          <w:rFonts w:hint="eastAsia" w:ascii="仿宋_GB2312" w:hAnsi="仿宋_GB2312" w:eastAsia="仿宋_GB2312" w:cs="仿宋_GB2312"/>
          <w:snapToGrid w:val="0"/>
          <w:color w:val="auto"/>
          <w:spacing w:val="3"/>
          <w:kern w:val="0"/>
          <w:sz w:val="28"/>
          <w:szCs w:val="28"/>
          <w:lang w:val="en-US" w:eastAsia="zh-CN" w:bidi="ar-SA"/>
        </w:rPr>
        <w:t>（4）平法图集《22G101-1》（现浇混凝土框架、剪力墙、梁、板）；</w:t>
      </w:r>
    </w:p>
    <w:p w14:paraId="48948BD1">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48"/>
        <w:jc w:val="left"/>
        <w:textAlignment w:val="baseline"/>
        <w:rPr>
          <w:rFonts w:hint="eastAsia" w:ascii="仿宋_GB2312" w:hAnsi="仿宋_GB2312" w:eastAsia="仿宋_GB2312" w:cs="仿宋_GB2312"/>
          <w:snapToGrid w:val="0"/>
          <w:color w:val="auto"/>
          <w:spacing w:val="3"/>
          <w:kern w:val="0"/>
          <w:sz w:val="28"/>
          <w:szCs w:val="28"/>
          <w:lang w:val="en-US" w:eastAsia="zh-CN" w:bidi="ar-SA"/>
        </w:rPr>
      </w:pPr>
      <w:r>
        <w:rPr>
          <w:rFonts w:hint="eastAsia" w:ascii="仿宋_GB2312" w:hAnsi="仿宋_GB2312" w:eastAsia="仿宋_GB2312" w:cs="仿宋_GB2312"/>
          <w:snapToGrid w:val="0"/>
          <w:color w:val="auto"/>
          <w:spacing w:val="3"/>
          <w:kern w:val="0"/>
          <w:sz w:val="28"/>
          <w:szCs w:val="28"/>
          <w:lang w:val="en-US" w:eastAsia="zh-CN" w:bidi="ar-SA"/>
        </w:rPr>
        <w:t>（5）《甘肃省建筑与装饰工程预算定额》（2013版）</w:t>
      </w:r>
    </w:p>
    <w:p w14:paraId="2000DF25">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48"/>
        <w:jc w:val="left"/>
        <w:textAlignment w:val="baseline"/>
        <w:rPr>
          <w:rFonts w:hint="eastAsia" w:ascii="仿宋_GB2312" w:hAnsi="仿宋_GB2312" w:eastAsia="仿宋_GB2312" w:cs="仿宋_GB2312"/>
          <w:snapToGrid w:val="0"/>
          <w:color w:val="auto"/>
          <w:spacing w:val="3"/>
          <w:kern w:val="0"/>
          <w:sz w:val="28"/>
          <w:szCs w:val="28"/>
          <w:lang w:val="en-US" w:eastAsia="zh-CN" w:bidi="ar-SA"/>
        </w:rPr>
      </w:pPr>
      <w:r>
        <w:rPr>
          <w:rFonts w:hint="eastAsia" w:ascii="仿宋_GB2312" w:hAnsi="仿宋_GB2312" w:eastAsia="仿宋_GB2312" w:cs="仿宋_GB2312"/>
          <w:snapToGrid w:val="0"/>
          <w:color w:val="auto"/>
          <w:spacing w:val="3"/>
          <w:kern w:val="0"/>
          <w:sz w:val="28"/>
          <w:szCs w:val="28"/>
          <w:lang w:val="en-US" w:eastAsia="zh-CN" w:bidi="ar-SA"/>
        </w:rPr>
        <w:t>（6）与工程算量相关的其他规范、标准、教材、参考书及有关教学资源。</w:t>
      </w:r>
    </w:p>
    <w:p w14:paraId="08E442E3">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lang w:val="en-US" w:eastAsia="zh-CN"/>
        </w:rPr>
      </w:pPr>
      <w:r>
        <w:rPr>
          <w:rFonts w:hint="eastAsia" w:ascii="仿宋_GB2312" w:hAnsi="仿宋_GB2312" w:eastAsia="仿宋_GB2312" w:cs="仿宋_GB2312"/>
          <w:b/>
          <w:bCs/>
          <w:color w:val="auto"/>
          <w:spacing w:val="2"/>
          <w:sz w:val="28"/>
          <w:szCs w:val="28"/>
        </w:rPr>
        <w:t>九、</w:t>
      </w:r>
      <w:r>
        <w:rPr>
          <w:rFonts w:hint="eastAsia" w:ascii="仿宋_GB2312" w:hAnsi="仿宋_GB2312" w:eastAsia="仿宋_GB2312" w:cs="仿宋_GB2312"/>
          <w:b/>
          <w:bCs/>
          <w:color w:val="auto"/>
          <w:spacing w:val="2"/>
          <w:sz w:val="28"/>
          <w:szCs w:val="28"/>
          <w:lang w:val="en-US" w:eastAsia="zh-CN"/>
        </w:rPr>
        <w:t>奖项设置</w:t>
      </w:r>
    </w:p>
    <w:p w14:paraId="4AA79CFF">
      <w:pPr>
        <w:keepNext w:val="0"/>
        <w:keepLines w:val="0"/>
        <w:pageBreakBefore w:val="0"/>
        <w:widowControl/>
        <w:kinsoku w:val="0"/>
        <w:wordWrap/>
        <w:overflowPunct/>
        <w:topLinePunct w:val="0"/>
        <w:autoSpaceDE w:val="0"/>
        <w:autoSpaceDN w:val="0"/>
        <w:bidi w:val="0"/>
        <w:adjustRightInd w:val="0"/>
        <w:snapToGrid w:val="0"/>
        <w:spacing w:line="560" w:lineRule="exact"/>
        <w:ind w:left="121" w:firstLine="540" w:firstLineChars="200"/>
        <w:jc w:val="left"/>
        <w:textAlignment w:val="baseline"/>
        <w:outlineLvl w:val="0"/>
        <w:rPr>
          <w:rFonts w:hint="eastAsia" w:ascii="仿宋_GB2312" w:hAnsi="仿宋_GB2312" w:eastAsia="仿宋_GB2312" w:cs="仿宋_GB2312"/>
          <w:color w:val="auto"/>
          <w:spacing w:val="-5"/>
          <w:sz w:val="28"/>
          <w:szCs w:val="28"/>
        </w:rPr>
      </w:pPr>
      <w:r>
        <w:rPr>
          <w:rFonts w:hint="eastAsia" w:ascii="仿宋_GB2312" w:hAnsi="仿宋_GB2312" w:eastAsia="仿宋_GB2312" w:cs="仿宋_GB2312"/>
          <w:color w:val="auto"/>
          <w:spacing w:val="-5"/>
          <w:sz w:val="28"/>
          <w:szCs w:val="28"/>
        </w:rPr>
        <w:t>竞赛设团体奖。一等奖占比10%，二等奖占比20%，三等奖占比30%（小数点后四舍五入）。</w:t>
      </w:r>
    </w:p>
    <w:p w14:paraId="2E5C7A91">
      <w:pPr>
        <w:keepNext w:val="0"/>
        <w:keepLines w:val="0"/>
        <w:pageBreakBefore w:val="0"/>
        <w:widowControl/>
        <w:kinsoku w:val="0"/>
        <w:wordWrap/>
        <w:overflowPunct/>
        <w:topLinePunct w:val="0"/>
        <w:autoSpaceDE w:val="0"/>
        <w:autoSpaceDN w:val="0"/>
        <w:bidi w:val="0"/>
        <w:adjustRightInd w:val="0"/>
        <w:snapToGrid w:val="0"/>
        <w:spacing w:line="560" w:lineRule="exact"/>
        <w:ind w:left="121" w:firstLine="540" w:firstLineChars="200"/>
        <w:jc w:val="left"/>
        <w:textAlignment w:val="baseline"/>
        <w:outlineLvl w:val="0"/>
        <w:rPr>
          <w:rFonts w:hint="eastAsia" w:ascii="仿宋_GB2312" w:hAnsi="仿宋_GB2312" w:eastAsia="仿宋_GB2312" w:cs="仿宋_GB2312"/>
          <w:color w:val="auto"/>
          <w:spacing w:val="-5"/>
          <w:sz w:val="28"/>
          <w:szCs w:val="28"/>
        </w:rPr>
      </w:pPr>
    </w:p>
    <w:p w14:paraId="7F0B36A6">
      <w:pPr>
        <w:keepNext w:val="0"/>
        <w:keepLines w:val="0"/>
        <w:pageBreakBefore w:val="0"/>
        <w:widowControl/>
        <w:kinsoku w:val="0"/>
        <w:wordWrap/>
        <w:overflowPunct/>
        <w:topLinePunct w:val="0"/>
        <w:autoSpaceDE w:val="0"/>
        <w:autoSpaceDN w:val="0"/>
        <w:bidi w:val="0"/>
        <w:adjustRightInd w:val="0"/>
        <w:snapToGrid w:val="0"/>
        <w:spacing w:line="560" w:lineRule="exact"/>
        <w:ind w:left="121" w:firstLine="540" w:firstLineChars="200"/>
        <w:jc w:val="left"/>
        <w:textAlignment w:val="baseline"/>
        <w:outlineLvl w:val="0"/>
        <w:rPr>
          <w:rFonts w:hint="eastAsia" w:ascii="仿宋_GB2312" w:hAnsi="仿宋_GB2312" w:eastAsia="仿宋_GB2312" w:cs="仿宋_GB2312"/>
          <w:color w:val="auto"/>
          <w:spacing w:val="-5"/>
          <w:sz w:val="28"/>
          <w:szCs w:val="28"/>
        </w:rPr>
      </w:pPr>
    </w:p>
    <w:p w14:paraId="6E0E670E">
      <w:pPr>
        <w:keepNext w:val="0"/>
        <w:keepLines w:val="0"/>
        <w:pageBreakBefore w:val="0"/>
        <w:widowControl/>
        <w:kinsoku w:val="0"/>
        <w:wordWrap/>
        <w:overflowPunct/>
        <w:topLinePunct w:val="0"/>
        <w:autoSpaceDE w:val="0"/>
        <w:autoSpaceDN w:val="0"/>
        <w:bidi w:val="0"/>
        <w:adjustRightInd w:val="0"/>
        <w:snapToGrid w:val="0"/>
        <w:spacing w:line="560" w:lineRule="exact"/>
        <w:ind w:left="121" w:firstLine="540" w:firstLineChars="200"/>
        <w:jc w:val="left"/>
        <w:textAlignment w:val="baseline"/>
        <w:outlineLvl w:val="0"/>
        <w:rPr>
          <w:rFonts w:hint="eastAsia" w:ascii="仿宋_GB2312" w:hAnsi="仿宋_GB2312" w:eastAsia="仿宋_GB2312" w:cs="仿宋_GB2312"/>
          <w:color w:val="auto"/>
          <w:spacing w:val="-5"/>
          <w:sz w:val="28"/>
          <w:szCs w:val="28"/>
        </w:rPr>
      </w:pPr>
    </w:p>
    <w:p w14:paraId="554829B8">
      <w:pPr>
        <w:keepNext w:val="0"/>
        <w:keepLines w:val="0"/>
        <w:pageBreakBefore w:val="0"/>
        <w:widowControl/>
        <w:kinsoku w:val="0"/>
        <w:wordWrap/>
        <w:overflowPunct/>
        <w:topLinePunct w:val="0"/>
        <w:autoSpaceDE w:val="0"/>
        <w:autoSpaceDN w:val="0"/>
        <w:bidi w:val="0"/>
        <w:adjustRightInd w:val="0"/>
        <w:snapToGrid w:val="0"/>
        <w:spacing w:line="560" w:lineRule="exact"/>
        <w:ind w:left="121" w:firstLine="540" w:firstLineChars="200"/>
        <w:jc w:val="left"/>
        <w:textAlignment w:val="baseline"/>
        <w:outlineLvl w:val="0"/>
        <w:rPr>
          <w:rFonts w:hint="eastAsia" w:ascii="仿宋" w:hAnsi="仿宋" w:eastAsia="仿宋" w:cs="仿宋"/>
          <w:color w:val="auto"/>
          <w:spacing w:val="-5"/>
          <w:sz w:val="28"/>
          <w:szCs w:val="28"/>
        </w:rPr>
      </w:pPr>
    </w:p>
    <w:p w14:paraId="2D917798">
      <w:pPr>
        <w:keepNext w:val="0"/>
        <w:keepLines w:val="0"/>
        <w:pageBreakBefore w:val="0"/>
        <w:widowControl/>
        <w:kinsoku w:val="0"/>
        <w:wordWrap/>
        <w:overflowPunct/>
        <w:topLinePunct w:val="0"/>
        <w:autoSpaceDE w:val="0"/>
        <w:autoSpaceDN w:val="0"/>
        <w:bidi w:val="0"/>
        <w:adjustRightInd w:val="0"/>
        <w:snapToGrid w:val="0"/>
        <w:spacing w:line="560" w:lineRule="exact"/>
        <w:jc w:val="left"/>
        <w:textAlignment w:val="baseline"/>
        <w:outlineLvl w:val="0"/>
        <w:rPr>
          <w:rFonts w:hint="eastAsia" w:ascii="仿宋" w:hAnsi="仿宋" w:eastAsia="仿宋" w:cs="仿宋"/>
          <w:color w:val="auto"/>
          <w:spacing w:val="-5"/>
          <w:sz w:val="28"/>
          <w:szCs w:val="28"/>
        </w:rPr>
        <w:sectPr>
          <w:footerReference r:id="rId5" w:type="default"/>
          <w:pgSz w:w="11907" w:h="16839"/>
          <w:pgMar w:top="1431" w:right="1711" w:bottom="1211" w:left="1785" w:header="0" w:footer="997" w:gutter="0"/>
          <w:cols w:space="720" w:num="1"/>
        </w:sectPr>
      </w:pPr>
    </w:p>
    <w:p w14:paraId="38428343">
      <w:pPr>
        <w:keepNext w:val="0"/>
        <w:keepLines w:val="0"/>
        <w:pageBreakBefore w:val="0"/>
        <w:widowControl/>
        <w:kinsoku w:val="0"/>
        <w:wordWrap/>
        <w:overflowPunct/>
        <w:topLinePunct w:val="0"/>
        <w:autoSpaceDE w:val="0"/>
        <w:autoSpaceDN w:val="0"/>
        <w:bidi w:val="0"/>
        <w:adjustRightInd w:val="0"/>
        <w:snapToGrid w:val="0"/>
        <w:spacing w:line="560" w:lineRule="exact"/>
        <w:jc w:val="left"/>
        <w:textAlignment w:val="baseline"/>
        <w:outlineLvl w:val="0"/>
        <w:rPr>
          <w:color w:val="auto"/>
        </w:rPr>
      </w:pPr>
    </w:p>
    <w:sectPr>
      <w:footerReference r:id="rId6" w:type="default"/>
      <w:pgSz w:w="11906" w:h="16840"/>
      <w:pgMar w:top="1388" w:right="1698" w:bottom="1360" w:left="1785" w:header="0" w:footer="1122"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18030">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905E86">
    <w:pPr>
      <w:spacing w:line="177" w:lineRule="auto"/>
      <w:ind w:left="4075"/>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E84820">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displayBackgroundShape w:val="1"/>
  <w:bordersDoNotSurroundHeader w:val="0"/>
  <w:bordersDoNotSurroundFooter w:val="0"/>
  <w:attachedTemplate r:id="rId1"/>
  <w:documentProtection w:enforcement="0"/>
  <w:defaultTabStop w:val="500"/>
  <w:hyphenationZone w:val="36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VmZjJlYWM3MDdjMWIxYWVkNWZlYzI0M2I1OTM4Y2MifQ=="/>
  </w:docVars>
  <w:rsids>
    <w:rsidRoot w:val="54210A9D"/>
    <w:rsid w:val="13C45F8F"/>
    <w:rsid w:val="17F5486E"/>
    <w:rsid w:val="1A562397"/>
    <w:rsid w:val="1AD45C03"/>
    <w:rsid w:val="1CF753DD"/>
    <w:rsid w:val="202E2A6B"/>
    <w:rsid w:val="21985DC8"/>
    <w:rsid w:val="24CC18AA"/>
    <w:rsid w:val="2F8373E0"/>
    <w:rsid w:val="34DA47B3"/>
    <w:rsid w:val="34E46F28"/>
    <w:rsid w:val="34E7026F"/>
    <w:rsid w:val="35046923"/>
    <w:rsid w:val="37CC77DF"/>
    <w:rsid w:val="4152091B"/>
    <w:rsid w:val="41BE78C8"/>
    <w:rsid w:val="41D45D08"/>
    <w:rsid w:val="43853042"/>
    <w:rsid w:val="52D7311E"/>
    <w:rsid w:val="54210A9D"/>
    <w:rsid w:val="57D9439E"/>
    <w:rsid w:val="5C013FFE"/>
    <w:rsid w:val="6011498B"/>
    <w:rsid w:val="62D442F7"/>
    <w:rsid w:val="68DB02F8"/>
    <w:rsid w:val="6C5032B4"/>
    <w:rsid w:val="6C7964CA"/>
    <w:rsid w:val="7B943CCB"/>
    <w:rsid w:val="FFFFADE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rFonts w:ascii="仿宋" w:hAnsi="仿宋" w:eastAsia="仿宋" w:cs="仿宋"/>
      <w:sz w:val="28"/>
      <w:szCs w:val="28"/>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
    <w:name w:val="Table Normal"/>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rPr>
      <w:rFonts w:ascii="仿宋" w:hAnsi="仿宋" w:eastAsia="仿宋" w:cs="仿宋"/>
      <w:sz w:val="24"/>
      <w:szCs w:val="24"/>
      <w:lang w:val="en-US" w:eastAsia="en-US" w:bidi="ar-SA"/>
    </w:rPr>
  </w:style>
  <w:style w:type="character" w:customStyle="1" w:styleId="11">
    <w:name w:val="font51"/>
    <w:basedOn w:val="8"/>
    <w:qFormat/>
    <w:uiPriority w:val="0"/>
    <w:rPr>
      <w:rFonts w:ascii="仿宋_GB2312" w:hAns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huijie\Library\Containers\com.kingsoft.wpsoffice.mac\Data\C:\Users\82532\Desktop\2024&#24180;&#29976;&#32899;&#30465;&#32844;&#19994;&#38498;&#26657;&#23398;&#29983;&#25216;&#33021;&#22823;&#36187;&#31454;&#36187;&#35268;&#31243;-&#39640;&#32844;.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2024年甘肃省职业院校学生技能大赛竞赛规程-高职.wpt</Template>
  <Pages>8</Pages>
  <Words>2845</Words>
  <Characters>2957</Characters>
  <TotalTime>13</TotalTime>
  <ScaleCrop>false</ScaleCrop>
  <LinksUpToDate>false</LinksUpToDate>
  <CharactersWithSpaces>3026</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2023-11-12T13:55:00Z</dcterms:created>
  <dc:creator>何振鲁</dc:creator>
  <cp:lastModifiedBy>左手无名指1398045354</cp:lastModifiedBy>
  <dcterms:modified xsi:type="dcterms:W3CDTF">2024-11-19T03:25:10Z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2023-11-09T17:43:45Z</vt:filetime>
  </property>
  <property fmtid="{D5CDD505-2E9C-101B-9397-08002B2CF9AE}" pid="4" name="KSOProductBuildVer">
    <vt:lpwstr>2052-12.1.0.18608</vt:lpwstr>
  </property>
  <property fmtid="{D5CDD505-2E9C-101B-9397-08002B2CF9AE}" pid="5" name="ICV">
    <vt:lpwstr>CCDE861B29214D12BE587599C4FA31C6_13</vt:lpwstr>
  </property>
</Properties>
</file>