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F456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80" w:line="240" w:lineRule="auto"/>
        <w:jc w:val="center"/>
        <w:textAlignment w:val="auto"/>
        <w:rPr>
          <w:rFonts w:hint="eastAsia"/>
          <w:sz w:val="40"/>
          <w:szCs w:val="32"/>
          <w:lang w:eastAsia="zh-CN"/>
        </w:rPr>
      </w:pPr>
      <w:r>
        <w:rPr>
          <w:rFonts w:hint="eastAsia"/>
          <w:sz w:val="40"/>
          <w:szCs w:val="32"/>
          <w:lang w:val="en-US" w:eastAsia="zh-CN"/>
        </w:rPr>
        <w:t>2025年</w:t>
      </w:r>
      <w:r>
        <w:rPr>
          <w:rFonts w:hint="eastAsia"/>
          <w:sz w:val="40"/>
          <w:szCs w:val="32"/>
          <w:lang w:eastAsia="zh-CN"/>
        </w:rPr>
        <w:t>兰州现代职业学院技能大赛</w:t>
      </w:r>
    </w:p>
    <w:p w14:paraId="7521CAB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80" w:line="240" w:lineRule="auto"/>
        <w:jc w:val="center"/>
        <w:textAlignment w:val="auto"/>
        <w:rPr>
          <w:rFonts w:hint="eastAsia"/>
          <w:sz w:val="40"/>
          <w:szCs w:val="32"/>
          <w:lang w:eastAsia="zh-CN"/>
        </w:rPr>
      </w:pPr>
      <w:r>
        <w:rPr>
          <w:rFonts w:hint="eastAsia"/>
          <w:sz w:val="40"/>
          <w:szCs w:val="32"/>
          <w:lang w:eastAsia="zh-CN"/>
        </w:rPr>
        <w:t>（城轨智能运输）</w:t>
      </w:r>
    </w:p>
    <w:p w14:paraId="7BECF1CD"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一、赛项名称</w:t>
      </w:r>
      <w:bookmarkStart w:id="0" w:name="_GoBack"/>
      <w:bookmarkEnd w:id="0"/>
    </w:p>
    <w:p w14:paraId="3BE7135F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城轨智能运输</w:t>
      </w:r>
    </w:p>
    <w:p w14:paraId="73A8059F"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二、竞赛目的</w:t>
      </w:r>
    </w:p>
    <w:p w14:paraId="2C0B6673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赛项以服务经济社会发展，服务国家战略发展，搭建面向轨道交通行业前沿领域的技术技能培养和创新平台，全面提升</w:t>
      </w:r>
      <w:r>
        <w:rPr>
          <w:rFonts w:hint="eastAsia"/>
          <w:sz w:val="28"/>
          <w:szCs w:val="36"/>
          <w:lang w:val="en-US" w:eastAsia="zh-CN"/>
        </w:rPr>
        <w:t>学院</w:t>
      </w:r>
      <w:r>
        <w:rPr>
          <w:rFonts w:hint="eastAsia"/>
          <w:sz w:val="28"/>
          <w:szCs w:val="36"/>
          <w:lang w:eastAsia="zh-CN"/>
        </w:rPr>
        <w:t>城市轨道交通运营管理专业学生技能水平、培育工匠精神，引领专业建设和教学改革为主要目的。通过竞赛促进课程设置与职业岗位的深度衔接，实现“岗、课、赛、证” 融合，全面提升教育教学质量。</w:t>
      </w:r>
    </w:p>
    <w:p w14:paraId="60A06C0B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竞赛内容把城市轨道交通行业的真实工作过程、任务和要求融入竞赛环节，注重团队合作，重点考查选手的专业技能、操作规范、创新能力，检验参赛选手职业素养和职业技能等综合能力。通过团队协作比赛方式，提升参赛选手的安全生产意识、多岗位协同配合能力与团队协作的职业素养，展示选手良好的精神面貌和教育改革成果。</w:t>
      </w:r>
    </w:p>
    <w:p w14:paraId="08DFF5E2">
      <w:pPr>
        <w:pStyle w:val="2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三、竞赛内容</w:t>
      </w:r>
    </w:p>
    <w:p w14:paraId="02E34E3E">
      <w:pPr>
        <w:bidi w:val="0"/>
        <w:rPr>
          <w:rFonts w:hint="eastAsia"/>
          <w:b/>
          <w:bCs/>
        </w:rPr>
      </w:pPr>
      <w:r>
        <w:rPr>
          <w:rFonts w:hint="eastAsia"/>
          <w:szCs w:val="36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>（一）</w:t>
      </w:r>
      <w:r>
        <w:rPr>
          <w:b/>
          <w:bCs/>
        </w:rPr>
        <w:t>竞赛描述</w:t>
      </w:r>
    </w:p>
    <w:p w14:paraId="7099FD1D">
      <w:pPr>
        <w:bidi w:val="0"/>
        <w:ind w:firstLine="560" w:firstLineChars="200"/>
        <w:rPr>
          <w:rFonts w:hint="eastAsia"/>
        </w:rPr>
      </w:pPr>
      <w:r>
        <w:t>城轨智能运输赛项采用智慧城轨模拟运行系统、车站设备虚拟仿真系统等，结合运营生产实际，设计赛题。融入城轨站务职业技能等级标准内容。技能考核内容以《城市轨道交通服务员国家职业技能标准》、《轨道交通信号工国家职业技能标准》、《城市轨道交通行车调度员技能和素质要求第1部分:地铁、轻轨和单轨》为依据，并结合城市轨道交通运营管理、城市轨道交通通信信号技术专业的主要技能要求进行设计。</w:t>
      </w:r>
    </w:p>
    <w:p w14:paraId="2F7B5C2D">
      <w:pPr>
        <w:bidi w:val="0"/>
        <w:ind w:firstLine="560" w:firstLineChars="200"/>
      </w:pPr>
      <w:r>
        <w:t>旨在考查选手对城市轨道交通运营组织、职业素养、安全意识、新标准新规范等方面基础知识的掌握情况，检验选手运用行车技术设备安全生产能力、行车规章标准执行能力、不同运营场景下行车组织和客运服务能力、突发事件应急处置能力、列车自动运行控制系统和通信信号设备调试和维护能力、通信信号设备工艺安装调试能力、团队协作和沟通能力等专业核心能力和职业综合能力，提升城市轨道交通行 业人才培养水平。</w:t>
      </w:r>
    </w:p>
    <w:p w14:paraId="2FE51AA3">
      <w:pPr>
        <w:bidi w:val="0"/>
        <w:ind w:firstLine="560" w:firstLineChars="200"/>
        <w:rPr>
          <w:rFonts w:hint="eastAsia"/>
        </w:rPr>
      </w:pPr>
      <w:r>
        <w:t>竞赛项目</w:t>
      </w:r>
      <w:r>
        <w:rPr>
          <w:rFonts w:hint="eastAsia"/>
          <w:lang w:eastAsia="zh-CN"/>
        </w:rPr>
        <w:t>为</w:t>
      </w:r>
      <w:r>
        <w:t>智慧城轨运营组织。竞赛为技能考核，满分100分，成绩计算到小数点后2位。技能考核中选手分别轮流担任行车值班员、行车调度员、值班站长、站务员等岗位，考核内容包括</w:t>
      </w:r>
      <w:r>
        <w:rPr>
          <w:rFonts w:hint="eastAsia"/>
          <w:lang w:eastAsia="zh-CN"/>
        </w:rPr>
        <w:t>：</w:t>
      </w:r>
      <w:r>
        <w:t>车站和调度中心正常行车组织下的列车运行、信号及机电设备监控、非正常情况下的行车组织，以及突发事件应急处置。设备包括：车站ATS仿真系统、车站虚拟IBP盘、车站ISCS仿真系统、车站虚拟CCTV仿真系统、中心ATS仿真系统、中心ISCS仿真系统、车站火灾及大客流组织虚拟仿 真系统，以及有线和无线通信设备等。</w:t>
      </w:r>
    </w:p>
    <w:p w14:paraId="2579DD10">
      <w:pPr>
        <w:bidi w:val="0"/>
        <w:ind w:firstLine="562" w:firstLineChars="200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（二）</w:t>
      </w:r>
      <w:r>
        <w:rPr>
          <w:b/>
          <w:bCs/>
        </w:rPr>
        <w:t>赛项说明</w:t>
      </w:r>
    </w:p>
    <w:p w14:paraId="229C8B8C">
      <w:pPr>
        <w:bidi w:val="0"/>
        <w:ind w:firstLine="560" w:firstLineChars="2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考核内容及分值分配</w:t>
      </w:r>
    </w:p>
    <w:p w14:paraId="68BD1D3D">
      <w:pPr>
        <w:bidi w:val="0"/>
        <w:ind w:firstLine="560" w:firstLineChars="200"/>
        <w:rPr>
          <w:rFonts w:ascii="黑体" w:hAnsi="黑体" w:eastAsia="黑体" w:cs="黑体"/>
          <w:bCs/>
          <w:color w:val="000000"/>
          <w:spacing w:val="0"/>
          <w:kern w:val="0"/>
          <w:sz w:val="24"/>
        </w:rPr>
      </w:pPr>
      <w:r>
        <w:t>技能考核分为车站行车作业、电话闭塞法接发列车、突发事件应 急处置 3 个任务，包括若干子任务。考核内容、分值分配及时间分配， 见表 1。</w:t>
      </w:r>
    </w:p>
    <w:p w14:paraId="36B39705">
      <w:pPr>
        <w:autoSpaceDE w:val="0"/>
        <w:autoSpaceDN w:val="0"/>
        <w:bidi w:val="0"/>
        <w:spacing w:beforeAutospacing="0" w:afterAutospacing="0" w:line="516" w:lineRule="exact"/>
        <w:jc w:val="center"/>
        <w:rPr>
          <w:rFonts w:ascii="黑体" w:hAnsi="黑体" w:eastAsia="黑体" w:cs="黑体"/>
          <w:bCs/>
          <w:color w:val="000000"/>
          <w:spacing w:val="0"/>
          <w:kern w:val="0"/>
          <w:sz w:val="28"/>
          <w:szCs w:val="28"/>
        </w:rPr>
      </w:pPr>
      <w:r>
        <w:rPr>
          <w:rFonts w:ascii="黑体" w:hAnsi="黑体" w:eastAsia="黑体" w:cs="黑体"/>
          <w:bCs/>
          <w:color w:val="000000"/>
          <w:spacing w:val="0"/>
          <w:kern w:val="0"/>
          <w:sz w:val="24"/>
          <w:szCs w:val="24"/>
        </w:rPr>
        <w:t>表</w:t>
      </w:r>
      <w:r>
        <w:rPr>
          <w:rFonts w:ascii="黑体" w:hAnsi="黑体" w:eastAsia="黑体" w:cs="黑体"/>
          <w:bCs/>
          <w:color w:val="000000"/>
          <w:w w:val="5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pacing w:val="0"/>
          <w:kern w:val="0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bCs/>
          <w:color w:val="000000"/>
          <w:spacing w:val="0"/>
          <w:kern w:val="0"/>
          <w:sz w:val="24"/>
          <w:szCs w:val="24"/>
          <w:lang w:val="en-US" w:eastAsia="zh-CN"/>
        </w:rPr>
        <w:t xml:space="preserve">  </w:t>
      </w:r>
      <w:r>
        <w:rPr>
          <w:rFonts w:ascii="黑体" w:hAnsi="黑体" w:eastAsia="黑体" w:cs="黑体"/>
          <w:bCs/>
          <w:color w:val="000000"/>
          <w:spacing w:val="0"/>
          <w:kern w:val="0"/>
          <w:sz w:val="24"/>
          <w:szCs w:val="24"/>
        </w:rPr>
        <w:t>考</w:t>
      </w:r>
      <w:r>
        <w:rPr>
          <w:rFonts w:ascii="黑体" w:hAnsi="黑体" w:eastAsia="黑体" w:cs="黑体"/>
          <w:bCs/>
          <w:color w:val="000000"/>
          <w:spacing w:val="6"/>
          <w:w w:val="97"/>
          <w:kern w:val="0"/>
          <w:sz w:val="24"/>
          <w:szCs w:val="24"/>
        </w:rPr>
        <w:t>核</w:t>
      </w:r>
      <w:r>
        <w:rPr>
          <w:rFonts w:ascii="黑体" w:hAnsi="黑体" w:eastAsia="黑体" w:cs="黑体"/>
          <w:bCs/>
          <w:color w:val="000000"/>
          <w:spacing w:val="-6"/>
          <w:w w:val="100"/>
          <w:kern w:val="0"/>
          <w:sz w:val="24"/>
          <w:szCs w:val="24"/>
        </w:rPr>
        <w:t>项</w:t>
      </w:r>
      <w:r>
        <w:rPr>
          <w:rFonts w:ascii="黑体" w:hAnsi="黑体" w:eastAsia="黑体" w:cs="黑体"/>
          <w:bCs/>
          <w:color w:val="000000"/>
          <w:spacing w:val="0"/>
          <w:kern w:val="0"/>
          <w:sz w:val="24"/>
          <w:szCs w:val="24"/>
        </w:rPr>
        <w:t>目、分值分配及</w:t>
      </w:r>
      <w:r>
        <w:rPr>
          <w:rFonts w:ascii="黑体" w:hAnsi="黑体" w:eastAsia="黑体" w:cs="黑体"/>
          <w:bCs/>
          <w:color w:val="000000"/>
          <w:spacing w:val="-1"/>
          <w:w w:val="100"/>
          <w:kern w:val="0"/>
          <w:sz w:val="24"/>
          <w:szCs w:val="24"/>
        </w:rPr>
        <w:t>比</w:t>
      </w:r>
      <w:r>
        <w:rPr>
          <w:rFonts w:ascii="黑体" w:hAnsi="黑体" w:eastAsia="黑体" w:cs="黑体"/>
          <w:bCs/>
          <w:color w:val="000000"/>
          <w:spacing w:val="0"/>
          <w:kern w:val="0"/>
          <w:sz w:val="24"/>
          <w:szCs w:val="24"/>
        </w:rPr>
        <w:t>赛时间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015"/>
        <w:gridCol w:w="3765"/>
        <w:gridCol w:w="645"/>
        <w:gridCol w:w="720"/>
        <w:gridCol w:w="1035"/>
      </w:tblGrid>
      <w:tr w14:paraId="42444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 w14:paraId="10DB309B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任务</w:t>
            </w:r>
          </w:p>
        </w:tc>
        <w:tc>
          <w:tcPr>
            <w:tcW w:w="4780" w:type="dxa"/>
            <w:gridSpan w:val="2"/>
            <w:vAlign w:val="center"/>
          </w:tcPr>
          <w:p w14:paraId="7BB17488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内容</w:t>
            </w:r>
          </w:p>
        </w:tc>
        <w:tc>
          <w:tcPr>
            <w:tcW w:w="1365" w:type="dxa"/>
            <w:gridSpan w:val="2"/>
            <w:vAlign w:val="center"/>
          </w:tcPr>
          <w:p w14:paraId="4BBE27FE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分值比重</w:t>
            </w:r>
          </w:p>
        </w:tc>
        <w:tc>
          <w:tcPr>
            <w:tcW w:w="1035" w:type="dxa"/>
            <w:vAlign w:val="center"/>
          </w:tcPr>
          <w:p w14:paraId="0CB937A9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59488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restart"/>
            <w:vAlign w:val="center"/>
          </w:tcPr>
          <w:p w14:paraId="532CCF42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  <w:p w14:paraId="06EC53C5">
            <w:pPr>
              <w:bidi w:val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 w14:paraId="528E3D39">
            <w:pPr>
              <w:bidi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车站行车作业</w:t>
            </w:r>
          </w:p>
        </w:tc>
        <w:tc>
          <w:tcPr>
            <w:tcW w:w="4780" w:type="dxa"/>
            <w:gridSpan w:val="2"/>
          </w:tcPr>
          <w:p w14:paraId="28AA96D0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运营工作准备</w:t>
            </w:r>
          </w:p>
        </w:tc>
        <w:tc>
          <w:tcPr>
            <w:tcW w:w="645" w:type="dxa"/>
            <w:vAlign w:val="center"/>
          </w:tcPr>
          <w:p w14:paraId="0E387E13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5%</w:t>
            </w:r>
          </w:p>
        </w:tc>
        <w:tc>
          <w:tcPr>
            <w:tcW w:w="720" w:type="dxa"/>
            <w:vMerge w:val="restart"/>
            <w:vAlign w:val="center"/>
          </w:tcPr>
          <w:p w14:paraId="232A7603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10%</w:t>
            </w:r>
          </w:p>
        </w:tc>
        <w:tc>
          <w:tcPr>
            <w:tcW w:w="1035" w:type="dxa"/>
            <w:vMerge w:val="restart"/>
            <w:vAlign w:val="center"/>
          </w:tcPr>
          <w:p w14:paraId="14D480F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必考</w:t>
            </w:r>
          </w:p>
        </w:tc>
      </w:tr>
      <w:tr w14:paraId="0AA4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6D21FFC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06836D4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正常行车组织工作</w:t>
            </w:r>
          </w:p>
        </w:tc>
        <w:tc>
          <w:tcPr>
            <w:tcW w:w="645" w:type="dxa"/>
            <w:vAlign w:val="center"/>
          </w:tcPr>
          <w:p w14:paraId="6A4C67A2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5%</w:t>
            </w:r>
          </w:p>
        </w:tc>
        <w:tc>
          <w:tcPr>
            <w:tcW w:w="720" w:type="dxa"/>
            <w:vMerge w:val="continue"/>
            <w:vAlign w:val="center"/>
          </w:tcPr>
          <w:p w14:paraId="492DEA0D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0530A645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0F46B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731F26A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restart"/>
          </w:tcPr>
          <w:p w14:paraId="5969C3E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ATS信号系统操作及故障处置</w:t>
            </w:r>
          </w:p>
        </w:tc>
        <w:tc>
          <w:tcPr>
            <w:tcW w:w="3765" w:type="dxa"/>
          </w:tcPr>
          <w:p w14:paraId="4EB624E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道岔单锁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/道岔单解</w:t>
            </w:r>
          </w:p>
        </w:tc>
        <w:tc>
          <w:tcPr>
            <w:tcW w:w="645" w:type="dxa"/>
            <w:vAlign w:val="center"/>
          </w:tcPr>
          <w:p w14:paraId="1B11ABBF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restart"/>
            <w:vAlign w:val="center"/>
          </w:tcPr>
          <w:p w14:paraId="56F59DAB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20%（随机抽取）</w:t>
            </w:r>
          </w:p>
        </w:tc>
        <w:tc>
          <w:tcPr>
            <w:tcW w:w="1035" w:type="dxa"/>
            <w:vMerge w:val="restart"/>
            <w:vAlign w:val="center"/>
          </w:tcPr>
          <w:p w14:paraId="79C1AFF7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随机抽取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5个</w:t>
            </w:r>
          </w:p>
        </w:tc>
      </w:tr>
      <w:tr w14:paraId="3341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4E78092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44BAEBA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2DEB2B2E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计轴故障应急处置</w:t>
            </w:r>
          </w:p>
        </w:tc>
        <w:tc>
          <w:tcPr>
            <w:tcW w:w="645" w:type="dxa"/>
            <w:vAlign w:val="center"/>
          </w:tcPr>
          <w:p w14:paraId="2EFC0009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0B6071E6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38EDC30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49B36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15970CC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59D81BF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5C69951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信号重开处置</w:t>
            </w:r>
          </w:p>
        </w:tc>
        <w:tc>
          <w:tcPr>
            <w:tcW w:w="645" w:type="dxa"/>
            <w:vAlign w:val="center"/>
          </w:tcPr>
          <w:p w14:paraId="23D1CADC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6A934BBC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477392D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2336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6D87C88F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3435A5E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2A94FCD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区段故障锁闭应急处置</w:t>
            </w:r>
          </w:p>
        </w:tc>
        <w:tc>
          <w:tcPr>
            <w:tcW w:w="645" w:type="dxa"/>
            <w:vAlign w:val="center"/>
          </w:tcPr>
          <w:p w14:paraId="617B6DFC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61A6D04E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1153D805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76568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4D74FFB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632D479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089476D8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扣车和取消扣车操作</w:t>
            </w:r>
          </w:p>
        </w:tc>
        <w:tc>
          <w:tcPr>
            <w:tcW w:w="645" w:type="dxa"/>
            <w:vAlign w:val="center"/>
          </w:tcPr>
          <w:p w14:paraId="7D1C62DF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342A1A0E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23FE4C0C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405C4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3E250C4C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4233C30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532DAA9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设置和取消轨道临时限速</w:t>
            </w:r>
          </w:p>
        </w:tc>
        <w:tc>
          <w:tcPr>
            <w:tcW w:w="645" w:type="dxa"/>
            <w:vAlign w:val="center"/>
          </w:tcPr>
          <w:p w14:paraId="7CBEC3E5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0A69E7E6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6712CC62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2474F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  <w:vAlign w:val="center"/>
          </w:tcPr>
          <w:p w14:paraId="6EB36E0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5" w:type="dxa"/>
            <w:vMerge w:val="continue"/>
          </w:tcPr>
          <w:p w14:paraId="46B49037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3765" w:type="dxa"/>
          </w:tcPr>
          <w:p w14:paraId="4A14F752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道岔单独操作</w:t>
            </w:r>
          </w:p>
        </w:tc>
        <w:tc>
          <w:tcPr>
            <w:tcW w:w="645" w:type="dxa"/>
            <w:vAlign w:val="center"/>
          </w:tcPr>
          <w:p w14:paraId="60A63B0A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4%</w:t>
            </w:r>
          </w:p>
        </w:tc>
        <w:tc>
          <w:tcPr>
            <w:tcW w:w="720" w:type="dxa"/>
            <w:vMerge w:val="continue"/>
            <w:vAlign w:val="center"/>
          </w:tcPr>
          <w:p w14:paraId="64A6AB48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32C6454C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246EF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 w14:paraId="22CA6A5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电话闭塞法接发列车</w:t>
            </w:r>
          </w:p>
        </w:tc>
        <w:tc>
          <w:tcPr>
            <w:tcW w:w="4780" w:type="dxa"/>
            <w:gridSpan w:val="2"/>
          </w:tcPr>
          <w:p w14:paraId="7E40317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某一联锁区联锁站电话闭塞法下完成首列车接发车工作</w:t>
            </w:r>
          </w:p>
        </w:tc>
        <w:tc>
          <w:tcPr>
            <w:tcW w:w="645" w:type="dxa"/>
            <w:vAlign w:val="center"/>
          </w:tcPr>
          <w:p w14:paraId="5FEBE81D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30%</w:t>
            </w:r>
          </w:p>
        </w:tc>
        <w:tc>
          <w:tcPr>
            <w:tcW w:w="720" w:type="dxa"/>
            <w:vAlign w:val="center"/>
          </w:tcPr>
          <w:p w14:paraId="21150C6A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30%</w:t>
            </w:r>
          </w:p>
        </w:tc>
        <w:tc>
          <w:tcPr>
            <w:tcW w:w="1035" w:type="dxa"/>
            <w:vAlign w:val="center"/>
          </w:tcPr>
          <w:p w14:paraId="169B4C7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必考</w:t>
            </w:r>
          </w:p>
        </w:tc>
      </w:tr>
      <w:tr w14:paraId="5C9BA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restart"/>
            <w:vAlign w:val="center"/>
          </w:tcPr>
          <w:p w14:paraId="30250B2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突发事件应急处置</w:t>
            </w:r>
          </w:p>
        </w:tc>
        <w:tc>
          <w:tcPr>
            <w:tcW w:w="4780" w:type="dxa"/>
            <w:gridSpan w:val="2"/>
          </w:tcPr>
          <w:p w14:paraId="4EDC4B2E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站台单档滑动门关门故障处置</w:t>
            </w:r>
          </w:p>
        </w:tc>
        <w:tc>
          <w:tcPr>
            <w:tcW w:w="645" w:type="dxa"/>
            <w:vAlign w:val="center"/>
          </w:tcPr>
          <w:p w14:paraId="06043760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restart"/>
            <w:vAlign w:val="center"/>
          </w:tcPr>
          <w:p w14:paraId="3E055E65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40%</w:t>
            </w:r>
          </w:p>
        </w:tc>
        <w:tc>
          <w:tcPr>
            <w:tcW w:w="1035" w:type="dxa"/>
            <w:vMerge w:val="restart"/>
            <w:vAlign w:val="center"/>
          </w:tcPr>
          <w:p w14:paraId="138AB5FC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随机抽取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6选1个场景</w:t>
            </w:r>
          </w:p>
        </w:tc>
      </w:tr>
      <w:tr w14:paraId="2A4DE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7041F20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264E9D6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站台单档滑动门开门故障处置</w:t>
            </w:r>
          </w:p>
        </w:tc>
        <w:tc>
          <w:tcPr>
            <w:tcW w:w="645" w:type="dxa"/>
            <w:vAlign w:val="center"/>
          </w:tcPr>
          <w:p w14:paraId="1F814642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3A7B58F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0F5D84EE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3303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5BF50B9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3829C1D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站台多档滑动门关门故障处置</w:t>
            </w:r>
          </w:p>
        </w:tc>
        <w:tc>
          <w:tcPr>
            <w:tcW w:w="645" w:type="dxa"/>
            <w:vAlign w:val="center"/>
          </w:tcPr>
          <w:p w14:paraId="052AC5DA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2A4B75D8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2316D04E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20D47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122B83E2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3CD020C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站台多档滑动门开门故障处置</w:t>
            </w:r>
          </w:p>
        </w:tc>
        <w:tc>
          <w:tcPr>
            <w:tcW w:w="645" w:type="dxa"/>
            <w:vAlign w:val="center"/>
          </w:tcPr>
          <w:p w14:paraId="347421D6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6F6907D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660723F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34E9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655445BC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6131D25D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站台整侧滑动门关门故障处置</w:t>
            </w:r>
          </w:p>
        </w:tc>
        <w:tc>
          <w:tcPr>
            <w:tcW w:w="645" w:type="dxa"/>
            <w:vAlign w:val="center"/>
          </w:tcPr>
          <w:p w14:paraId="6F7ED2E2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38BBDD5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6A9496B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7DCD5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1322C2F7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0EF59F1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站台整侧滑动门开门故障处置</w:t>
            </w:r>
          </w:p>
        </w:tc>
        <w:tc>
          <w:tcPr>
            <w:tcW w:w="645" w:type="dxa"/>
            <w:vAlign w:val="center"/>
          </w:tcPr>
          <w:p w14:paraId="06129592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2A99AC3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50A187E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7BFBB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02ED835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5CF0D66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全自动运行线路站台门整侧滑动门不能关门情况下发车处置</w:t>
            </w:r>
          </w:p>
        </w:tc>
        <w:tc>
          <w:tcPr>
            <w:tcW w:w="645" w:type="dxa"/>
            <w:vAlign w:val="center"/>
          </w:tcPr>
          <w:p w14:paraId="481B36FD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19142D3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1545B02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随机抽取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3选1个场景</w:t>
            </w:r>
          </w:p>
        </w:tc>
      </w:tr>
      <w:tr w14:paraId="5E26D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075B05A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0F2D4A7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全自动运行线路站台门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/车门夹人应急处置</w:t>
            </w:r>
          </w:p>
        </w:tc>
        <w:tc>
          <w:tcPr>
            <w:tcW w:w="645" w:type="dxa"/>
            <w:vAlign w:val="center"/>
          </w:tcPr>
          <w:p w14:paraId="0E38414B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601DCB6E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43C2940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007CE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26E9D96F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3A788EAF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全自动运行线路站台门滑动门破碎（下轨行区）应急处置</w:t>
            </w:r>
          </w:p>
        </w:tc>
        <w:tc>
          <w:tcPr>
            <w:tcW w:w="645" w:type="dxa"/>
            <w:vAlign w:val="center"/>
          </w:tcPr>
          <w:p w14:paraId="00C18DDD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8%</w:t>
            </w:r>
          </w:p>
        </w:tc>
        <w:tc>
          <w:tcPr>
            <w:tcW w:w="720" w:type="dxa"/>
            <w:vMerge w:val="continue"/>
          </w:tcPr>
          <w:p w14:paraId="27B621E8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57CB2B25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16975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7736275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2775940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车站站台（垃圾桶）发生火灾事故应急处置</w:t>
            </w:r>
          </w:p>
        </w:tc>
        <w:tc>
          <w:tcPr>
            <w:tcW w:w="645" w:type="dxa"/>
            <w:vAlign w:val="center"/>
          </w:tcPr>
          <w:p w14:paraId="2F22B26D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12%</w:t>
            </w:r>
          </w:p>
        </w:tc>
        <w:tc>
          <w:tcPr>
            <w:tcW w:w="720" w:type="dxa"/>
            <w:vMerge w:val="continue"/>
          </w:tcPr>
          <w:p w14:paraId="24A497D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restart"/>
            <w:vAlign w:val="center"/>
          </w:tcPr>
          <w:p w14:paraId="0AA068D3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随机抽取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4选1个场景</w:t>
            </w:r>
          </w:p>
        </w:tc>
      </w:tr>
      <w:tr w14:paraId="5068F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56AB672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0C866FCD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车站站台（商铺）发生火灾事故应急处置</w:t>
            </w:r>
          </w:p>
        </w:tc>
        <w:tc>
          <w:tcPr>
            <w:tcW w:w="645" w:type="dxa"/>
            <w:vAlign w:val="center"/>
          </w:tcPr>
          <w:p w14:paraId="18788F5B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12%</w:t>
            </w:r>
          </w:p>
        </w:tc>
        <w:tc>
          <w:tcPr>
            <w:tcW w:w="720" w:type="dxa"/>
            <w:vMerge w:val="continue"/>
          </w:tcPr>
          <w:p w14:paraId="59C58F3A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24F6CC41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20BE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01D16C4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61BD1BA5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车站站台（扶梯）发生火灾事故应急处置</w:t>
            </w:r>
          </w:p>
        </w:tc>
        <w:tc>
          <w:tcPr>
            <w:tcW w:w="645" w:type="dxa"/>
            <w:vAlign w:val="center"/>
          </w:tcPr>
          <w:p w14:paraId="4C32CDC1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12%</w:t>
            </w:r>
          </w:p>
        </w:tc>
        <w:tc>
          <w:tcPr>
            <w:tcW w:w="720" w:type="dxa"/>
            <w:vMerge w:val="continue"/>
          </w:tcPr>
          <w:p w14:paraId="0BB46E14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42DDBA5D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0277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31DC62D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357F04A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车站站厅（书报架）发生火灾事故应急处置</w:t>
            </w:r>
          </w:p>
        </w:tc>
        <w:tc>
          <w:tcPr>
            <w:tcW w:w="645" w:type="dxa"/>
            <w:vAlign w:val="center"/>
          </w:tcPr>
          <w:p w14:paraId="4B746316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12%</w:t>
            </w:r>
          </w:p>
        </w:tc>
        <w:tc>
          <w:tcPr>
            <w:tcW w:w="720" w:type="dxa"/>
            <w:vMerge w:val="continue"/>
          </w:tcPr>
          <w:p w14:paraId="266B7396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0F159119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</w:tr>
      <w:tr w14:paraId="4F48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Merge w:val="continue"/>
          </w:tcPr>
          <w:p w14:paraId="38FFA26B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4780" w:type="dxa"/>
            <w:gridSpan w:val="2"/>
          </w:tcPr>
          <w:p w14:paraId="7BFCA40F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车站大客流应急处置</w:t>
            </w:r>
          </w:p>
        </w:tc>
        <w:tc>
          <w:tcPr>
            <w:tcW w:w="645" w:type="dxa"/>
            <w:vAlign w:val="center"/>
          </w:tcPr>
          <w:p w14:paraId="5EC3BC76">
            <w:pPr>
              <w:autoSpaceDE w:val="0"/>
              <w:autoSpaceDN w:val="0"/>
              <w:bidi w:val="0"/>
              <w:spacing w:beforeAutospacing="0" w:afterAutospacing="0" w:line="516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/>
              </w:rPr>
              <w:t>12%</w:t>
            </w:r>
          </w:p>
        </w:tc>
        <w:tc>
          <w:tcPr>
            <w:tcW w:w="720" w:type="dxa"/>
            <w:vMerge w:val="continue"/>
          </w:tcPr>
          <w:p w14:paraId="6067AC77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421124E0">
            <w:pPr>
              <w:autoSpaceDE w:val="0"/>
              <w:autoSpaceDN w:val="0"/>
              <w:bidi w:val="0"/>
              <w:spacing w:beforeAutospacing="0" w:afterAutospacing="0" w:line="516" w:lineRule="exact"/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pacing w:val="0"/>
                <w:kern w:val="0"/>
                <w:sz w:val="24"/>
                <w:szCs w:val="24"/>
                <w:vertAlign w:val="baseline"/>
                <w:lang w:eastAsia="zh-CN"/>
              </w:rPr>
              <w:t>必考</w:t>
            </w:r>
          </w:p>
        </w:tc>
      </w:tr>
    </w:tbl>
    <w:p w14:paraId="63EB70A1">
      <w:pPr>
        <w:bidi w:val="0"/>
        <w:ind w:firstLine="560" w:firstLineChars="20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t>考核方式</w:t>
      </w:r>
    </w:p>
    <w:p w14:paraId="7BC16192">
      <w:pPr>
        <w:bidi w:val="0"/>
        <w:ind w:firstLine="560" w:firstLineChars="200"/>
        <w:rPr>
          <w:rFonts w:hint="eastAsia"/>
        </w:rPr>
      </w:pPr>
      <w:r>
        <w:t>技能操作使用模拟的车站IBP盘、站台门、道岔和ATS系统等设备进行比赛。技能考核包含车站行车作业、突发事件应急处置、电话闭塞法接发列车操作3个项目。要求</w:t>
      </w:r>
      <w:r>
        <w:rPr>
          <w:rFonts w:hint="eastAsia"/>
          <w:lang w:val="en-US" w:eastAsia="zh-CN"/>
        </w:rPr>
        <w:t>4</w:t>
      </w:r>
      <w:r>
        <w:t>名参赛选手分别担任行车值班员、行车调度员、值班站长、站务员等岗位及其他车站人员相互协作配合完成考核。</w:t>
      </w:r>
    </w:p>
    <w:p w14:paraId="23868D5B">
      <w:pPr>
        <w:bidi w:val="0"/>
        <w:ind w:firstLine="560" w:firstLineChars="200"/>
        <w:rPr>
          <w:rFonts w:hint="eastAsia" w:eastAsia="仿宋_GB2312"/>
          <w:lang w:eastAsia="zh-CN"/>
        </w:rPr>
      </w:pPr>
      <w:r>
        <w:t>比赛过程中，每个场景都有规定的时间，若在规定时间内未</w:t>
      </w:r>
      <w:r>
        <w:rPr>
          <w:rFonts w:hint="eastAsia"/>
          <w:lang w:eastAsia="zh-CN"/>
        </w:rPr>
        <w:t>处置</w:t>
      </w:r>
    </w:p>
    <w:p w14:paraId="6DEC62E1">
      <w:pPr>
        <w:bidi w:val="0"/>
        <w:rPr>
          <w:rFonts w:hint="eastAsia"/>
        </w:rPr>
      </w:pPr>
      <w:r>
        <w:t>完毕，则该场景中未</w:t>
      </w:r>
      <w:r>
        <w:rPr>
          <w:rFonts w:hint="eastAsia"/>
          <w:lang w:eastAsia="zh-CN"/>
        </w:rPr>
        <w:t>处置</w:t>
      </w:r>
      <w:r>
        <w:t>部分不得分，在车站行车作业办理以及应急</w:t>
      </w:r>
    </w:p>
    <w:p w14:paraId="00AC3CD9">
      <w:pPr>
        <w:bidi w:val="0"/>
        <w:rPr>
          <w:rFonts w:hint="eastAsia"/>
        </w:rPr>
      </w:pPr>
      <w:r>
        <w:t>处置场景中因选手操作不当导致列车堵塞，场景不切换下一个任务， 比赛不会自动进入下一个环节。</w:t>
      </w:r>
    </w:p>
    <w:p w14:paraId="25736D1E">
      <w:pPr>
        <w:bidi w:val="0"/>
        <w:ind w:firstLine="560" w:firstLineChars="200"/>
        <w:rPr>
          <w:rFonts w:hint="eastAsia"/>
        </w:rPr>
      </w:pPr>
      <w:r>
        <w:t>各参赛队员所担任的角色为非固定岗位。选手入场前，随机抽取</w:t>
      </w:r>
    </w:p>
    <w:p w14:paraId="78E69262">
      <w:pPr>
        <w:bidi w:val="0"/>
      </w:pPr>
      <w:r>
        <w:t>编号，在比赛过程中，各参赛队员根据抽取到的编号及系统（或裁判） 提示完成相应岗位任务。</w:t>
      </w:r>
    </w:p>
    <w:p w14:paraId="5A14D1DB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四、竞赛环境</w:t>
      </w:r>
    </w:p>
    <w:p w14:paraId="27661617">
      <w:pPr>
        <w:bidi w:val="0"/>
        <w:ind w:firstLine="560" w:firstLineChars="200"/>
        <w:rPr>
          <w:rFonts w:hint="eastAsia"/>
        </w:rPr>
      </w:pPr>
      <w:r>
        <w:t>（一）竞赛场地</w:t>
      </w:r>
    </w:p>
    <w:p w14:paraId="7FA9CA79">
      <w:pPr>
        <w:bidi w:val="0"/>
        <w:ind w:firstLine="560" w:firstLineChars="200"/>
        <w:rPr>
          <w:rFonts w:hint="eastAsia"/>
        </w:rPr>
      </w:pPr>
      <w:r>
        <w:t>竞赛现场设置竞赛区，竞赛工位不少于4个</w:t>
      </w:r>
      <w:r>
        <w:rPr>
          <w:rFonts w:hint="eastAsia"/>
          <w:lang w:eastAsia="zh-CN"/>
        </w:rPr>
        <w:t>，</w:t>
      </w:r>
      <w:r>
        <w:t>场地面积不少于15m×10m。另设裁判区、服务区、技术支持区、医疗保障区，同时提供休息室。现场保证良好的采光、照明和通风，提供稳定的水</w:t>
      </w:r>
      <w:r>
        <w:rPr>
          <w:rFonts w:hint="eastAsia"/>
          <w:lang w:eastAsia="zh-CN"/>
        </w:rPr>
        <w:t>、</w:t>
      </w:r>
      <w:r>
        <w:t>电和供电应急设备。赛场提供全方位录像直播设备，满足赛场外观摩需求。</w:t>
      </w:r>
    </w:p>
    <w:p w14:paraId="705EC392">
      <w:pPr>
        <w:bidi w:val="0"/>
        <w:ind w:firstLine="560" w:firstLineChars="200"/>
        <w:rPr>
          <w:rFonts w:hint="eastAsia"/>
        </w:rPr>
      </w:pPr>
      <w:r>
        <w:t>（二）竞赛工位</w:t>
      </w:r>
    </w:p>
    <w:p w14:paraId="0510B12E">
      <w:pPr>
        <w:bidi w:val="0"/>
        <w:ind w:firstLine="560" w:firstLineChars="200"/>
        <w:rPr>
          <w:rFonts w:hint="eastAsia"/>
        </w:rPr>
      </w:pPr>
      <w:r>
        <w:t>竞赛工位：每个工位占地不小于4m×5m，标明工位号，并配备相 应模块的竞赛技术平台1套。</w:t>
      </w:r>
    </w:p>
    <w:p w14:paraId="333AD124">
      <w:pPr>
        <w:bidi w:val="0"/>
        <w:ind w:firstLine="560" w:firstLineChars="200"/>
        <w:rPr>
          <w:rFonts w:hint="eastAsia"/>
        </w:rPr>
      </w:pPr>
      <w:r>
        <w:t>赛场每工位提供独立控制并带有漏电保护装置的220V（3A）单</w:t>
      </w:r>
    </w:p>
    <w:p w14:paraId="1F878907">
      <w:pPr>
        <w:bidi w:val="0"/>
        <w:rPr>
          <w:rFonts w:hint="eastAsia"/>
        </w:rPr>
      </w:pPr>
      <w:r>
        <w:t>相交流电源，供电系统具有双电源冗余保障，赛场计算机须配套不间 断电源系统。</w:t>
      </w:r>
    </w:p>
    <w:p w14:paraId="4A1EAB11">
      <w:pPr>
        <w:bidi w:val="0"/>
        <w:ind w:firstLine="560" w:firstLineChars="200"/>
        <w:rPr>
          <w:rFonts w:hint="eastAsia"/>
        </w:rPr>
      </w:pPr>
      <w:r>
        <w:t>场地及工位面积可根据设备及系统情况酌情调整。</w:t>
      </w:r>
    </w:p>
    <w:p w14:paraId="4CCBA0AF">
      <w:pPr>
        <w:bidi w:val="0"/>
        <w:ind w:firstLine="560" w:firstLineChars="200"/>
        <w:rPr>
          <w:rFonts w:hint="eastAsia"/>
        </w:rPr>
      </w:pPr>
      <w:r>
        <w:t>（三）技术平台</w:t>
      </w:r>
    </w:p>
    <w:p w14:paraId="71637D65">
      <w:pPr>
        <w:bidi w:val="0"/>
        <w:ind w:firstLine="560" w:firstLineChars="200"/>
        <w:rPr>
          <w:rFonts w:hint="eastAsia"/>
        </w:rPr>
      </w:pPr>
      <w:r>
        <w:t>智慧城轨运营组织竞赛平台</w:t>
      </w:r>
    </w:p>
    <w:p w14:paraId="0A84A107">
      <w:pPr>
        <w:bidi w:val="0"/>
        <w:ind w:firstLine="560" w:firstLineChars="200"/>
        <w:rPr>
          <w:rFonts w:hint="eastAsia"/>
        </w:rPr>
      </w:pPr>
      <w:r>
        <w:t>智慧城轨运营组织竞赛平台包含ATS虚拟仿真系统、虚拟仿真 车站设施设备及附属配套设备、实物道岔一副。</w:t>
      </w:r>
    </w:p>
    <w:p w14:paraId="6CE4CA30">
      <w:pPr>
        <w:bidi w:val="0"/>
        <w:ind w:firstLine="560" w:firstLineChars="200"/>
        <w:rPr>
          <w:rFonts w:hint="eastAsia"/>
        </w:rPr>
      </w:pPr>
      <w:r>
        <w:t>平台实现的主要功能包括：（1）虚拟仿真ATS系统；（2</w:t>
      </w:r>
      <w:r>
        <w:rPr>
          <w:rFonts w:hint="eastAsia"/>
          <w:lang w:eastAsia="zh-CN"/>
        </w:rPr>
        <w:t>）</w:t>
      </w:r>
      <w:r>
        <w:t>实时</w:t>
      </w:r>
    </w:p>
    <w:p w14:paraId="46495B77">
      <w:pPr>
        <w:bidi w:val="0"/>
        <w:rPr>
          <w:rFonts w:hint="eastAsia"/>
        </w:rPr>
      </w:pPr>
      <w:r>
        <w:t>加载列车运行图并按图行车；（3）站台门等车站设备设施故障操作仿真；（4）车站火灾及大客流组织虚拟仿真；（5）多岗位联动演练 仿真；（6）语音识别；（7）考评打分。</w:t>
      </w:r>
    </w:p>
    <w:p w14:paraId="4DFD583D">
      <w:pPr>
        <w:bidi w:val="0"/>
        <w:ind w:firstLine="560" w:firstLineChars="200"/>
        <w:rPr>
          <w:rFonts w:hint="eastAsia"/>
          <w:lang w:eastAsia="zh-CN"/>
        </w:rPr>
      </w:pPr>
      <w:r>
        <w:t>平台实现的主要功能包括：（1）信号设备安装与调试；（2）信 号设备故障及维护仿真；（3）考评打分</w:t>
      </w:r>
      <w:r>
        <w:rPr>
          <w:rFonts w:hint="eastAsia"/>
          <w:lang w:eastAsia="zh-CN"/>
        </w:rPr>
        <w:t>。</w:t>
      </w:r>
    </w:p>
    <w:p w14:paraId="12714BA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参赛队组成</w:t>
      </w:r>
    </w:p>
    <w:p w14:paraId="592F017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每支参赛队选手不超过 </w:t>
      </w:r>
      <w:r>
        <w:rPr>
          <w:rFonts w:hint="default"/>
          <w:lang w:val="en-US" w:eastAsia="zh-CN"/>
        </w:rPr>
        <w:t xml:space="preserve">4 </w:t>
      </w:r>
      <w:r>
        <w:rPr>
          <w:rFonts w:hint="eastAsia"/>
          <w:lang w:val="en-US" w:eastAsia="zh-CN"/>
        </w:rPr>
        <w:t>人，均为团体赛。</w:t>
      </w:r>
      <w:r>
        <w:t>参赛选手应是</w:t>
      </w:r>
      <w:r>
        <w:rPr>
          <w:rFonts w:hint="eastAsia"/>
          <w:lang w:val="en-US" w:eastAsia="zh-CN"/>
        </w:rPr>
        <w:t>兰州现代职业学院</w:t>
      </w:r>
      <w:r>
        <w:t>全日制在籍学生（以报名时的学籍信息为准），</w:t>
      </w:r>
      <w:r>
        <w:rPr>
          <w:rFonts w:hint="eastAsia"/>
          <w:lang w:val="en-US" w:eastAsia="zh-CN"/>
        </w:rPr>
        <w:t xml:space="preserve">各参赛队可配指导教师，每队限报 </w:t>
      </w:r>
      <w:r>
        <w:rPr>
          <w:rFonts w:hint="default"/>
          <w:lang w:val="en-US" w:eastAsia="zh-CN"/>
        </w:rPr>
        <w:t xml:space="preserve">2 </w:t>
      </w:r>
      <w:r>
        <w:rPr>
          <w:rFonts w:hint="eastAsia"/>
          <w:lang w:val="en-US" w:eastAsia="zh-CN"/>
        </w:rPr>
        <w:t>名，负责参赛选手的报名、训练指导以及比赛期间的日常管理。</w:t>
      </w:r>
    </w:p>
    <w:p w14:paraId="6D013A9B">
      <w:pPr>
        <w:bidi w:val="0"/>
        <w:ind w:firstLine="560" w:firstLineChars="200"/>
        <w:rPr>
          <w:rFonts w:hint="eastAsia"/>
        </w:rPr>
      </w:pPr>
      <w:r>
        <w:t>参赛选手和指导教师报名获得确认后不得更换。如备赛过程中参 赛选手和指导教师因故无法参赛，须向组委会于开赛10个工作日之</w:t>
      </w:r>
    </w:p>
    <w:p w14:paraId="65D3508F">
      <w:pPr>
        <w:bidi w:val="0"/>
        <w:rPr>
          <w:rFonts w:hint="eastAsia"/>
        </w:rPr>
      </w:pPr>
      <w:r>
        <w:t>前出具书面说明，经大赛组委会办公室核实后予以更换；否则，选手因特殊原因不能参加比赛，视为自动放弃比赛。</w:t>
      </w:r>
    </w:p>
    <w:p w14:paraId="60DF900A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六、参赛项目设计要求</w:t>
      </w:r>
    </w:p>
    <w:p w14:paraId="2BCBAB52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突出能力导向、解决实际问题、体现创新因素、确保可评可比。 </w:t>
      </w:r>
    </w:p>
    <w:p w14:paraId="24156D68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（一）项目内容 </w:t>
      </w:r>
    </w:p>
    <w:p w14:paraId="1E6A2678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根据赛道设置，结合专业要求，围绕生产、管理、服务一线岗位实际需要和实践要求，立足技能创新，自主确定参赛项目名称，自主设计参赛项目内容，自主选择参赛设备。 </w:t>
      </w:r>
    </w:p>
    <w:p w14:paraId="2EF84F83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 参赛项目确定 </w:t>
      </w:r>
    </w:p>
    <w:p w14:paraId="1400A35A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</w:t>
      </w:r>
      <w:r>
        <w:t>大赛组委会办公室</w:t>
      </w:r>
      <w:r>
        <w:rPr>
          <w:rFonts w:hint="eastAsia"/>
          <w:lang w:val="en-US" w:eastAsia="zh-CN"/>
        </w:rPr>
        <w:t xml:space="preserve">印发的大赛通知，自主设计和确定参赛项目名称。设计的参赛项目须符合职业岗位要求，操作规范、安全。不得含有任何违反《中华人民共和国宪法》及其他法律法规的内容。所涉及的发明创造、专利技术、资源等必须拥有清晰、合法的产权或物权。参赛项目如有涉密内容，参赛前须进行脱密处理。不得有抄袭盗用他人成果、提供虚假材料等违反相关法律法规的行为。 </w:t>
      </w:r>
    </w:p>
    <w:p w14:paraId="3D895A64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 项目内容设计 </w:t>
      </w:r>
    </w:p>
    <w:p w14:paraId="7DECB08A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应围绕“技能水平、职业素养、应用价值、团队合作、创新创意”要素，进行参赛项目的内容设计。技能水平方面应能体现选手技能熟练度、难易度及解决问题的复杂度等；职业素养方面应能体现良好的职业道德、职业精神、工匠精神等；应用价值方面应能体现解决生产、 生活一线实际问题或困难以及创造社会经济价值的情况；团队合作方面应能够体现分工明确、紧密协作、各司其职、高效沟通、统筹安排等能力；创新创意方面应能体现创新意识、创新理念及技能创新点。 </w:t>
      </w:r>
    </w:p>
    <w:p w14:paraId="019E49DD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 参赛设备选择 </w:t>
      </w:r>
    </w:p>
    <w:p w14:paraId="704F4780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参赛所需设备和材料不做统一要求，</w:t>
      </w:r>
      <w:r>
        <w:t>大赛组委会办公室</w:t>
      </w:r>
      <w:r>
        <w:rPr>
          <w:rFonts w:hint="eastAsia"/>
          <w:lang w:val="en-US" w:eastAsia="zh-CN"/>
        </w:rPr>
        <w:t>在报名前公布可用于比赛的设备和材料清单（含场地、水电气网等条件）供参赛队伍选择，参赛队根据</w:t>
      </w:r>
      <w:r>
        <w:t>大赛组委会办公室</w:t>
      </w:r>
      <w:r>
        <w:rPr>
          <w:rFonts w:hint="eastAsia"/>
          <w:lang w:val="en-US" w:eastAsia="zh-CN"/>
        </w:rPr>
        <w:t>公布的清单，自主决定设备是否自带。决定自带设备和材料的参赛队应优先使用自身现有设备，与</w:t>
      </w:r>
      <w:r>
        <w:t>大赛组委会办公室</w:t>
      </w:r>
      <w:r>
        <w:rPr>
          <w:rFonts w:hint="eastAsia"/>
          <w:lang w:val="en-US" w:eastAsia="zh-CN"/>
        </w:rPr>
        <w:t>确认可行后进场。现场设备技术保障谁提供谁负责。设备选择与参赛报名同步进行。各赛程报名时，自带设备的参赛队须与</w:t>
      </w:r>
      <w:r>
        <w:t>大赛组委会办公室</w:t>
      </w:r>
      <w:r>
        <w:rPr>
          <w:rFonts w:hint="eastAsia"/>
          <w:lang w:val="en-US" w:eastAsia="zh-CN"/>
        </w:rPr>
        <w:t>积极沟通协商并与</w:t>
      </w:r>
      <w:r>
        <w:t>大赛组委会办公室</w:t>
      </w:r>
      <w:r>
        <w:rPr>
          <w:rFonts w:hint="eastAsia"/>
          <w:lang w:val="en-US" w:eastAsia="zh-CN"/>
        </w:rPr>
        <w:t xml:space="preserve">签订确认书（附参赛队自带设备清单及赛场环境要求确认信息）。 </w:t>
      </w:r>
    </w:p>
    <w:p w14:paraId="652077A4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（二）项目呈现 </w:t>
      </w:r>
    </w:p>
    <w:p w14:paraId="276EDE7C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赛队伍根据工作任务，按团队成员分工，同步进行技能操作和现场讲解。技能操作重点展示专业技能熟练程度、规范程度以及解决技术难题的创新能力，现场讲解主要介绍总体思路、技能要点、主要成果、项目创新等。须完成一个完整的工作任务，每项比赛时长可由各参赛队伍根据项目实际需要确定，不超过 1 小时，在技能操作的同时，对关键技术环节安排适当讲解。现场具体实施由</w:t>
      </w:r>
      <w:r>
        <w:t>大赛组委会办公室</w:t>
      </w:r>
      <w:r>
        <w:rPr>
          <w:rFonts w:hint="eastAsia"/>
          <w:lang w:val="en-US" w:eastAsia="zh-CN"/>
        </w:rPr>
        <w:t>组织，各参赛队依次比赛，每个工位全程录像。</w:t>
      </w:r>
    </w:p>
    <w:p w14:paraId="515AC8C2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（三）比赛时长 </w:t>
      </w:r>
    </w:p>
    <w:p w14:paraId="405B8037">
      <w:pPr>
        <w:bidi w:val="0"/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每支参赛队伍比赛时长不超过一小时，具体时长由各参赛队根据实际项目需要确定，并在报名时填报该信息。</w:t>
      </w:r>
    </w:p>
    <w:p w14:paraId="335045A8"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参赛要求</w:t>
      </w:r>
    </w:p>
    <w:p w14:paraId="7D2FFED3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所有参赛人员应该树立正确的参赛观，严格遵守大赛相 关制度和规定。 </w:t>
      </w:r>
    </w:p>
    <w:p w14:paraId="06F0DAE4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default"/>
          <w:lang w:val="en-US" w:eastAsia="zh-CN"/>
        </w:rPr>
        <w:t xml:space="preserve">）指导教师 </w:t>
      </w:r>
    </w:p>
    <w:p w14:paraId="36545E59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1. 应根据行业产业发展需求结合专业教学，认真指导选手进行项目设计和训练，培养选手的职业综合能力和良好的职业素养。 </w:t>
      </w:r>
    </w:p>
    <w:p w14:paraId="244236A9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2. 做好选手比赛期间的服务和管理工作，做好选手的安全教育。 </w:t>
      </w:r>
    </w:p>
    <w:p w14:paraId="083A5736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3. 参加赛事观摩等活动，不得违反相关规定干扰比赛正常进行。 </w:t>
      </w:r>
    </w:p>
    <w:p w14:paraId="3CEC6F3A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4. 应自觉遵守大赛各项制度，尊重裁判、纪律监督、仲裁及工作人员。要引导和教育参赛选手对于认为有影响比赛成绩的裁判行为，按照赛事指南规定和大赛制度与裁判、工作人员进行充分沟通或赛后提出申诉，不得在网络、微信群等各种媒体发表、传播有待核实信息和过激言论。对比赛过程中的争议问题，要按大赛制度规定程序处理，不得采取过激行为。 </w:t>
      </w:r>
    </w:p>
    <w:p w14:paraId="14031EC0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default"/>
          <w:lang w:val="en-US" w:eastAsia="zh-CN"/>
        </w:rPr>
        <w:t xml:space="preserve">）参赛选手 </w:t>
      </w:r>
    </w:p>
    <w:p w14:paraId="38046CF4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1. 应文明参赛，服从裁判统一指挥，尊重赛场工作人员，自觉维护赛场秩序。在参赛中出现设备故障等突发情况，要及时报告现场裁判。如参赛选手因不服从裁判而停止比赛，则以弃权处理。 </w:t>
      </w:r>
    </w:p>
    <w:p w14:paraId="473DB240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2. 须遵守比赛项目相关的安全操作流程，防止发生安全事故。 </w:t>
      </w:r>
    </w:p>
    <w:p w14:paraId="4119F7F1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3. 应爱护赛场使用的设备、仪器等，不得人为损坏比赛所使用的仪器设备。 </w:t>
      </w:r>
    </w:p>
    <w:p w14:paraId="54A29959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4. 须严格按照规定时间进入候考区和比赛场地，不允许携带与参赛设备无关的电子产品及通讯工具，以及其他与竞赛有关的资料和书籍，不得以任何方式泄露参赛学校、选手姓名等涉及竞赛场上应该保密的信息。 </w:t>
      </w:r>
    </w:p>
    <w:p w14:paraId="4C6248D7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5. 对于认为有影响参赛队比赛成绩的有关行为，应向指导老师反映，由指导老师按大赛制度规定进行申诉。参赛选手不得利用比赛相关的微信群、QQ 群、钉钉群等发表虚假信息和不当言论。 </w:t>
      </w:r>
    </w:p>
    <w:p w14:paraId="28546B42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八</w:t>
      </w:r>
      <w:r>
        <w:rPr>
          <w:rFonts w:hint="default"/>
          <w:lang w:val="en-US" w:eastAsia="zh-CN"/>
        </w:rPr>
        <w:t xml:space="preserve">、参赛相关管理规定 </w:t>
      </w:r>
    </w:p>
    <w:p w14:paraId="265FBE3C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（一）指导教师、选手等所有人员须严格执行《安全管理规定》。 </w:t>
      </w:r>
    </w:p>
    <w:p w14:paraId="63B4E08D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（二）参赛队应该参加赛事组委会组织的开、闭赛式等各项赛事活动。 </w:t>
      </w:r>
    </w:p>
    <w:p w14:paraId="2CF9CC96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（三）在赛事期间，参赛队成员不得私自接触裁判。 </w:t>
      </w:r>
    </w:p>
    <w:p w14:paraId="4A843E9D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（四）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所有参赛人员须按照赛事指南要求按时完成赛后评价工作。 </w:t>
      </w:r>
    </w:p>
    <w:p w14:paraId="5F081AA1">
      <w:pPr>
        <w:widowControl w:val="0"/>
        <w:numPr>
          <w:ilvl w:val="0"/>
          <w:numId w:val="0"/>
        </w:numPr>
        <w:bidi w:val="0"/>
        <w:spacing w:line="520" w:lineRule="exact"/>
        <w:ind w:firstLine="56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（五）对于有碍比赛公正和比赛正常进行的参赛队，按照《奖惩办法》处理。</w:t>
      </w:r>
    </w:p>
    <w:p w14:paraId="68A7C60B">
      <w:pPr>
        <w:widowControl w:val="0"/>
        <w:numPr>
          <w:ilvl w:val="0"/>
          <w:numId w:val="0"/>
        </w:numPr>
        <w:bidi w:val="0"/>
        <w:spacing w:line="520" w:lineRule="exact"/>
        <w:jc w:val="both"/>
        <w:rPr>
          <w:rFonts w:hint="default"/>
          <w:lang w:val="en-US" w:eastAsia="zh-CN"/>
        </w:rPr>
      </w:pPr>
    </w:p>
    <w:p w14:paraId="63D0FEFB">
      <w:pPr>
        <w:widowControl w:val="0"/>
        <w:numPr>
          <w:ilvl w:val="0"/>
          <w:numId w:val="0"/>
        </w:numPr>
        <w:bidi w:val="0"/>
        <w:spacing w:line="520" w:lineRule="exact"/>
        <w:jc w:val="both"/>
        <w:rPr>
          <w:rFonts w:hint="default"/>
          <w:lang w:val="en-US" w:eastAsia="zh-CN"/>
        </w:rPr>
      </w:pPr>
    </w:p>
    <w:p w14:paraId="3DF0F127">
      <w:pPr>
        <w:bidi w:val="0"/>
        <w:rPr>
          <w:rFonts w:hint="eastAsia"/>
          <w:lang w:val="en-US" w:eastAsia="zh-CN"/>
        </w:rPr>
      </w:pPr>
    </w:p>
    <w:p w14:paraId="7D836EA0">
      <w:pPr>
        <w:bidi w:val="0"/>
        <w:rPr>
          <w:rFonts w:hint="eastAsia"/>
          <w:lang w:val="en-US" w:eastAsia="zh-CN"/>
        </w:rPr>
      </w:pPr>
    </w:p>
    <w:p w14:paraId="49C4BE9C">
      <w:pPr>
        <w:bidi w:val="0"/>
        <w:rPr>
          <w:rFonts w:hint="eastAsia"/>
          <w:lang w:val="en-US" w:eastAsia="zh-CN"/>
        </w:rPr>
        <w:sectPr>
          <w:pgSz w:w="11900" w:h="16840"/>
          <w:pgMar w:top="1390" w:right="1697" w:bottom="910" w:left="1800" w:header="851" w:footer="910" w:gutter="0"/>
          <w:cols w:space="720" w:num="1"/>
        </w:sectPr>
      </w:pPr>
    </w:p>
    <w:p w14:paraId="2E1C24A3">
      <w:pPr>
        <w:numPr>
          <w:ilvl w:val="0"/>
          <w:numId w:val="0"/>
        </w:numPr>
        <w:rPr>
          <w:rFonts w:hint="eastAsia"/>
          <w:sz w:val="28"/>
          <w:szCs w:val="36"/>
          <w:lang w:eastAsia="zh-CN"/>
        </w:rPr>
      </w:pPr>
    </w:p>
    <w:p w14:paraId="7ED22B9C">
      <w:pPr>
        <w:numPr>
          <w:ilvl w:val="0"/>
          <w:numId w:val="0"/>
        </w:numPr>
        <w:rPr>
          <w:rFonts w:hint="eastAsia"/>
          <w:sz w:val="28"/>
          <w:szCs w:val="36"/>
          <w:lang w:eastAsia="zh-CN"/>
        </w:rPr>
      </w:pPr>
    </w:p>
    <w:p w14:paraId="2D21122B">
      <w:pPr>
        <w:numPr>
          <w:ilvl w:val="0"/>
          <w:numId w:val="0"/>
        </w:numPr>
        <w:rPr>
          <w:rFonts w:hint="eastAsia"/>
          <w:sz w:val="28"/>
          <w:szCs w:val="36"/>
          <w:lang w:eastAsia="zh-CN"/>
        </w:rPr>
      </w:pPr>
    </w:p>
    <w:p w14:paraId="216201AF">
      <w:pPr>
        <w:numPr>
          <w:ilvl w:val="0"/>
          <w:numId w:val="0"/>
        </w:numPr>
        <w:rPr>
          <w:rFonts w:hint="eastAsia"/>
          <w:sz w:val="28"/>
          <w:szCs w:val="36"/>
          <w:lang w:eastAsia="zh-CN"/>
        </w:rPr>
      </w:pPr>
    </w:p>
    <w:p w14:paraId="6F1C540C">
      <w:pPr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D4B0B0"/>
    <w:multiLevelType w:val="singleLevel"/>
    <w:tmpl w:val="41D4B0B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ZjJlYWM3MDdjMWIxYWVkNWZlYzI0M2I1OTM4Y2MifQ=="/>
  </w:docVars>
  <w:rsids>
    <w:rsidRoot w:val="50FD7880"/>
    <w:rsid w:val="075751B4"/>
    <w:rsid w:val="0A9E29B5"/>
    <w:rsid w:val="0F247DBB"/>
    <w:rsid w:val="1ABB747E"/>
    <w:rsid w:val="22ED236E"/>
    <w:rsid w:val="25585215"/>
    <w:rsid w:val="26B44062"/>
    <w:rsid w:val="26D0287C"/>
    <w:rsid w:val="2FFE3B35"/>
    <w:rsid w:val="33104F05"/>
    <w:rsid w:val="39555099"/>
    <w:rsid w:val="3D2F20AB"/>
    <w:rsid w:val="43407B18"/>
    <w:rsid w:val="50FD7880"/>
    <w:rsid w:val="70457711"/>
    <w:rsid w:val="798E60BA"/>
    <w:rsid w:val="7D2532A7"/>
    <w:rsid w:val="7E66164A"/>
    <w:rsid w:val="7FD7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eastAsia="仿宋_GB2312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120" w:afterLines="0" w:afterAutospacing="0" w:line="360" w:lineRule="auto"/>
      <w:outlineLvl w:val="0"/>
    </w:pPr>
    <w:rPr>
      <w:rFonts w:eastAsia="黑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4291</Words>
  <Characters>4389</Characters>
  <Lines>0</Lines>
  <Paragraphs>0</Paragraphs>
  <TotalTime>14</TotalTime>
  <ScaleCrop>false</ScaleCrop>
  <LinksUpToDate>false</LinksUpToDate>
  <CharactersWithSpaces>4462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2024-09-03T03:08:00Z</dcterms:created>
  <dc:creator>Lenovo</dc:creator>
  <cp:lastModifiedBy>左手无名指1398045354</cp:lastModifiedBy>
  <cp:lastPrinted>2024-11-08T07:05:00Z</cp:lastPrinted>
  <dcterms:modified xsi:type="dcterms:W3CDTF">2024-11-19T03:17:52Z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C33465AD827243048A6BFF2845249AB2_11</vt:lpwstr>
  </property>
</Properties>
</file>