
<file path=[Content_Types].xml><?xml version="1.0" encoding="utf-8"?>
<Types xmlns="http://schemas.openxmlformats.org/package/2006/content-types">
  <Default Extension="png" ContentType="image/png"/>
  <Default Extension="wdp" ContentType="image/vnd.ms-photo"/>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FA8C633">
      <w:pPr>
        <w:pageBreakBefore w:val="0"/>
        <w:widowControl w:val="0"/>
        <w:tabs>
          <w:tab w:val="left" w:pos="7938"/>
        </w:tabs>
        <w:kinsoku/>
        <w:wordWrap/>
        <w:overflowPunct/>
        <w:topLinePunct w:val="0"/>
        <w:bidi w:val="0"/>
        <w:adjustRightInd/>
        <w:spacing w:line="560" w:lineRule="exact"/>
        <w:ind w:firstLine="640" w:firstLineChars="200"/>
        <w:jc w:val="both"/>
        <w:textAlignment w:val="auto"/>
        <w:rPr>
          <w:rFonts w:hint="default" w:ascii="方正小标宋简体" w:eastAsia="方正小标宋简体" w:cs="方正小标宋简体"/>
          <w:sz w:val="32"/>
          <w:szCs w:val="32"/>
          <w:highlight w:val="none"/>
          <w:lang w:val="en-US" w:eastAsia="zh-CN"/>
        </w:rPr>
      </w:pPr>
      <w:r>
        <w:rPr>
          <w:rFonts w:hint="eastAsia" w:ascii="方正小标宋简体" w:eastAsia="方正小标宋简体" w:cs="方正小标宋简体"/>
          <w:sz w:val="32"/>
          <w:szCs w:val="32"/>
          <w:highlight w:val="none"/>
          <w:lang w:val="en-US" w:eastAsia="zh-CN"/>
        </w:rPr>
        <w:t>中职</w:t>
      </w:r>
    </w:p>
    <w:p w14:paraId="2DC293F9">
      <w:pPr>
        <w:pStyle w:val="3"/>
        <w:keepNext/>
        <w:keepLines/>
        <w:pageBreakBefore w:val="0"/>
        <w:widowControl w:val="0"/>
        <w:kinsoku/>
        <w:wordWrap/>
        <w:overflowPunct/>
        <w:topLinePunct w:val="0"/>
        <w:autoSpaceDE/>
        <w:autoSpaceDN/>
        <w:bidi w:val="0"/>
        <w:adjustRightInd/>
        <w:snapToGrid/>
        <w:spacing w:beforeAutospacing="0" w:after="380" w:afterAutospacing="0" w:line="560" w:lineRule="exact"/>
        <w:jc w:val="center"/>
        <w:textAlignment w:val="auto"/>
        <w:rPr>
          <w:rFonts w:hint="eastAsia" w:ascii="Arial" w:hAnsi="Arial" w:eastAsia="黑体" w:cstheme="minorBidi"/>
          <w:b/>
          <w:bCs w:val="0"/>
          <w:snapToGrid/>
          <w:color w:val="000000"/>
          <w:kern w:val="2"/>
          <w:sz w:val="40"/>
          <w:szCs w:val="32"/>
          <w:lang w:val="en-US" w:eastAsia="zh-CN"/>
        </w:rPr>
      </w:pPr>
      <w:r>
        <w:rPr>
          <w:rFonts w:hint="eastAsia" w:ascii="Arial" w:hAnsi="Arial" w:eastAsia="黑体" w:cstheme="minorBidi"/>
          <w:b/>
          <w:bCs w:val="0"/>
          <w:snapToGrid/>
          <w:color w:val="000000"/>
          <w:kern w:val="2"/>
          <w:sz w:val="40"/>
          <w:szCs w:val="32"/>
          <w:lang w:val="en-US" w:eastAsia="zh-CN"/>
        </w:rPr>
        <w:t>2025年兰州市职业院校技能大赛中职组交通运输类“城市轨道交通运营与维护”赛项规程</w:t>
      </w:r>
    </w:p>
    <w:p w14:paraId="43471637">
      <w:pPr>
        <w:pageBreakBefore w:val="0"/>
        <w:widowControl w:val="0"/>
        <w:kinsoku/>
        <w:wordWrap/>
        <w:overflowPunct/>
        <w:topLinePunct w:val="0"/>
        <w:autoSpaceDE/>
        <w:autoSpaceDN/>
        <w:bidi w:val="0"/>
        <w:snapToGrid w:val="0"/>
        <w:spacing w:line="560" w:lineRule="exact"/>
        <w:ind w:firstLine="562" w:firstLineChars="200"/>
        <w:textAlignment w:val="auto"/>
        <w:outlineLvl w:val="0"/>
        <w:rPr>
          <w:rFonts w:hint="eastAsia" w:ascii="仿宋_GB2312" w:hAnsi="仿宋" w:eastAsia="仿宋_GB2312" w:cs="仿宋"/>
          <w:b/>
          <w:bCs/>
          <w:sz w:val="28"/>
          <w:szCs w:val="28"/>
        </w:rPr>
      </w:pPr>
      <w:r>
        <w:rPr>
          <w:rFonts w:hint="eastAsia" w:ascii="仿宋_GB2312" w:hAnsi="仿宋" w:eastAsia="仿宋_GB2312" w:cs="仿宋"/>
          <w:b/>
          <w:bCs/>
          <w:sz w:val="28"/>
          <w:szCs w:val="28"/>
        </w:rPr>
        <w:t>一、赛项名称</w:t>
      </w:r>
    </w:p>
    <w:p w14:paraId="7CCDE824">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城市轨道交通运营与维护</w:t>
      </w:r>
    </w:p>
    <w:p w14:paraId="59B47A84">
      <w:pPr>
        <w:pageBreakBefore w:val="0"/>
        <w:widowControl w:val="0"/>
        <w:kinsoku/>
        <w:wordWrap/>
        <w:overflowPunct/>
        <w:topLinePunct w:val="0"/>
        <w:autoSpaceDE/>
        <w:autoSpaceDN/>
        <w:bidi w:val="0"/>
        <w:snapToGrid w:val="0"/>
        <w:spacing w:line="560" w:lineRule="exact"/>
        <w:ind w:firstLine="562" w:firstLineChars="200"/>
        <w:textAlignment w:val="auto"/>
        <w:outlineLvl w:val="0"/>
        <w:rPr>
          <w:rFonts w:hint="eastAsia" w:ascii="仿宋_GB2312" w:hAnsi="仿宋" w:eastAsia="仿宋_GB2312" w:cs="仿宋"/>
          <w:b/>
          <w:bCs/>
          <w:sz w:val="28"/>
          <w:szCs w:val="28"/>
          <w:lang w:val="en-US" w:eastAsia="zh-CN"/>
        </w:rPr>
      </w:pPr>
      <w:r>
        <w:rPr>
          <w:rFonts w:hint="eastAsia" w:ascii="仿宋_GB2312" w:hAnsi="仿宋" w:eastAsia="仿宋_GB2312" w:cs="仿宋"/>
          <w:b/>
          <w:bCs/>
          <w:sz w:val="28"/>
          <w:szCs w:val="28"/>
        </w:rPr>
        <w:t>二、</w:t>
      </w:r>
      <w:r>
        <w:rPr>
          <w:rFonts w:hint="eastAsia" w:ascii="仿宋_GB2312" w:hAnsi="仿宋" w:eastAsia="仿宋_GB2312" w:cs="仿宋"/>
          <w:b/>
          <w:bCs/>
          <w:sz w:val="28"/>
          <w:szCs w:val="28"/>
          <w:lang w:val="en-US" w:eastAsia="zh-CN"/>
        </w:rPr>
        <w:t>赛项概述</w:t>
      </w:r>
    </w:p>
    <w:p w14:paraId="22264572">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kern w:val="0"/>
          <w:sz w:val="28"/>
          <w:szCs w:val="28"/>
          <w:highlight w:val="none"/>
          <w:lang w:val="en-US" w:eastAsia="zh-CN"/>
        </w:rPr>
      </w:pPr>
      <w:r>
        <w:rPr>
          <w:rFonts w:hint="eastAsia" w:ascii="仿宋_GB2312" w:hAnsi="仿宋_GB2312" w:eastAsia="仿宋_GB2312" w:cs="仿宋_GB2312"/>
          <w:b/>
          <w:bCs/>
          <w:kern w:val="0"/>
          <w:sz w:val="28"/>
          <w:szCs w:val="28"/>
          <w:highlight w:val="none"/>
        </w:rPr>
        <w:t>（一）赛项</w:t>
      </w:r>
      <w:r>
        <w:rPr>
          <w:rFonts w:hint="eastAsia" w:ascii="仿宋_GB2312" w:hAnsi="仿宋_GB2312" w:eastAsia="仿宋_GB2312" w:cs="仿宋_GB2312"/>
          <w:b/>
          <w:bCs/>
          <w:kern w:val="0"/>
          <w:sz w:val="28"/>
          <w:szCs w:val="28"/>
          <w:highlight w:val="none"/>
          <w:lang w:val="en-US" w:eastAsia="zh-CN"/>
        </w:rPr>
        <w:t>总体思路</w:t>
      </w:r>
    </w:p>
    <w:p w14:paraId="201CEE5D">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lang w:val="en-US" w:eastAsia="zh-CN"/>
        </w:rPr>
        <w:t>本赛项是中职组交通运输赛道城市轨道交通运营与维护，</w:t>
      </w:r>
      <w:r>
        <w:rPr>
          <w:rFonts w:hint="eastAsia" w:ascii="仿宋_GB2312" w:hAnsi="仿宋_GB2312" w:eastAsia="仿宋_GB2312" w:cs="仿宋_GB2312"/>
          <w:kern w:val="0"/>
          <w:sz w:val="28"/>
          <w:szCs w:val="28"/>
          <w:highlight w:val="none"/>
        </w:rPr>
        <w:t>通过竞赛，展示现代服务业之城市轨道交通运营服务产业</w:t>
      </w:r>
      <w:r>
        <w:rPr>
          <w:rFonts w:hint="eastAsia" w:ascii="仿宋_GB2312" w:hAnsi="仿宋_GB2312" w:eastAsia="仿宋_GB2312" w:cs="仿宋_GB2312"/>
          <w:kern w:val="0"/>
          <w:sz w:val="28"/>
          <w:szCs w:val="28"/>
          <w:highlight w:val="none"/>
          <w:lang w:eastAsia="zh-CN"/>
        </w:rPr>
        <w:t>、</w:t>
      </w:r>
      <w:r>
        <w:rPr>
          <w:rFonts w:hint="eastAsia" w:ascii="仿宋_GB2312" w:hAnsi="仿宋_GB2312" w:eastAsia="仿宋_GB2312" w:cs="仿宋_GB2312"/>
          <w:kern w:val="0"/>
          <w:sz w:val="28"/>
          <w:szCs w:val="28"/>
          <w:highlight w:val="none"/>
        </w:rPr>
        <w:t>以及新职业之城市轨道交通信号维护职业等领域的职业教育改革成就以及师生技能风采；考核参赛选手在办理列车出入段等正常行车组织作业、办理信号重开等非正常行车组织作业、应急处置现场火灾等突发事件、信号系统维护和故障处理等方面的实践操作能力；同时考核参赛选手的安全生产、团队协作、规范操作、精益求精等职业素质；推动职业教育国家教学标准的落地实施，引领中等职业学校城市轨道交通运营服务、城市轨道交通信号维护专业的数字化升级和师资队伍、实训基地建设；促进城市轨道交通车站行车作业、车站突发事件应急处置、城轨信号系统操作与检测等专业课程及综合实训课程改革，落实岗课赛证综合育人、产教协同育人；助推具有工匠精神的城市轨道交通运营与维护复合型高素质技术技能人才的培养，满足城市轨道交通行业高速发展的需要，助力交通强国战略和职业教育高质量发展。</w:t>
      </w:r>
    </w:p>
    <w:p w14:paraId="767EBCF8">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w:t>
      </w:r>
      <w:r>
        <w:rPr>
          <w:rFonts w:hint="eastAsia" w:ascii="仿宋_GB2312" w:hAnsi="仿宋_GB2312" w:eastAsia="仿宋_GB2312" w:cs="仿宋_GB2312"/>
          <w:b/>
          <w:bCs/>
          <w:kern w:val="0"/>
          <w:sz w:val="28"/>
          <w:szCs w:val="28"/>
          <w:highlight w:val="none"/>
          <w:lang w:val="en-US" w:eastAsia="zh-CN"/>
        </w:rPr>
        <w:t>二</w:t>
      </w:r>
      <w:r>
        <w:rPr>
          <w:rFonts w:hint="eastAsia" w:ascii="仿宋_GB2312" w:hAnsi="仿宋_GB2312" w:eastAsia="仿宋_GB2312" w:cs="仿宋_GB2312"/>
          <w:b/>
          <w:bCs/>
          <w:kern w:val="0"/>
          <w:sz w:val="28"/>
          <w:szCs w:val="28"/>
          <w:highlight w:val="none"/>
        </w:rPr>
        <w:t>）赛项考查的技术技能</w:t>
      </w:r>
    </w:p>
    <w:p w14:paraId="0BC92975">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本赛项主要面向城市轨道交通车站客运服务和城市轨道交通信号系统维护两个职业岗位群，对接城市轨道交通服务员和轨道交通信号工两项国家职业技能标准，考核选手办理列车出入段等正常行车组织作业、办理信号重开等非正常行车组织作业、应急处置现场火灾等突发事件、信号系统维护和故障处理等方面的实践操作能力，以及安全生产、团队协作、规范操作、精益求精、劳动精神、责任担当等职业素质。</w:t>
      </w:r>
    </w:p>
    <w:p w14:paraId="03FF88D3">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w:t>
      </w:r>
      <w:r>
        <w:rPr>
          <w:rFonts w:hint="eastAsia" w:ascii="仿宋_GB2312" w:hAnsi="仿宋_GB2312" w:eastAsia="仿宋_GB2312" w:cs="仿宋_GB2312"/>
          <w:b/>
          <w:bCs/>
          <w:kern w:val="0"/>
          <w:sz w:val="28"/>
          <w:szCs w:val="28"/>
          <w:highlight w:val="none"/>
          <w:lang w:val="en-US" w:eastAsia="zh-CN"/>
        </w:rPr>
        <w:t>三</w:t>
      </w:r>
      <w:r>
        <w:rPr>
          <w:rFonts w:hint="eastAsia" w:ascii="仿宋_GB2312" w:hAnsi="仿宋_GB2312" w:eastAsia="仿宋_GB2312" w:cs="仿宋_GB2312"/>
          <w:b/>
          <w:bCs/>
          <w:kern w:val="0"/>
          <w:sz w:val="28"/>
          <w:szCs w:val="28"/>
          <w:highlight w:val="none"/>
        </w:rPr>
        <w:t>）赛项</w:t>
      </w:r>
      <w:r>
        <w:rPr>
          <w:rFonts w:hint="eastAsia" w:ascii="仿宋_GB2312" w:hAnsi="仿宋_GB2312" w:eastAsia="仿宋_GB2312" w:cs="仿宋_GB2312"/>
          <w:b/>
          <w:bCs/>
          <w:kern w:val="0"/>
          <w:sz w:val="28"/>
          <w:szCs w:val="28"/>
          <w:highlight w:val="none"/>
          <w:lang w:val="en-US" w:eastAsia="zh-CN"/>
        </w:rPr>
        <w:t>主要</w:t>
      </w:r>
      <w:r>
        <w:rPr>
          <w:rFonts w:hint="eastAsia" w:ascii="仿宋_GB2312" w:hAnsi="仿宋_GB2312" w:eastAsia="仿宋_GB2312" w:cs="仿宋_GB2312"/>
          <w:b/>
          <w:bCs/>
          <w:kern w:val="0"/>
          <w:sz w:val="28"/>
          <w:szCs w:val="28"/>
          <w:highlight w:val="none"/>
        </w:rPr>
        <w:t>涵盖的岗位典型工作任务</w:t>
      </w:r>
    </w:p>
    <w:p w14:paraId="17D7C3F9">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赛项涵盖的典型工作任务有：</w:t>
      </w:r>
    </w:p>
    <w:p w14:paraId="76893674">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1.正常情况下行车作业办理；</w:t>
      </w:r>
    </w:p>
    <w:p w14:paraId="19A95C59">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2.非正常情况下行车作业办理；</w:t>
      </w:r>
    </w:p>
    <w:p w14:paraId="6A53DD25">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3.票务设备故障现场处置；</w:t>
      </w:r>
    </w:p>
    <w:p w14:paraId="4CD3B0E3">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4.站台门故障应急处置；</w:t>
      </w:r>
    </w:p>
    <w:p w14:paraId="5A6872D8">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5.火灾情况下的应急处置；</w:t>
      </w:r>
    </w:p>
    <w:p w14:paraId="3EE333DA">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6.手摇道岔操作；</w:t>
      </w:r>
    </w:p>
    <w:p w14:paraId="28438A4E">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7.道岔、信号机等信号设备故障分析及处理。</w:t>
      </w:r>
    </w:p>
    <w:p w14:paraId="6E50017A">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本赛项竞赛内容包括两个模块：城市轨道交通运营服务（模块1）、城市轨道交通信号系统维护（模块2）。</w:t>
      </w:r>
    </w:p>
    <w:p w14:paraId="3BCFB188">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城市轨道交通运营服务模块基于城市轨道交通运营服务虚拟仿真平台，考核站务员岗前检查作业、控制权接收作业、扣车与取消扣车作业、列车出入段作业、道岔单锁与单解作业、区故解作业、信号重开作业、站台紧急停车按钮恢复、道岔试验、站台门故障应急处置、火灾应急处置、票务设备故障现场处置等内容。</w:t>
      </w:r>
    </w:p>
    <w:p w14:paraId="21DBD1C4">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城市轨道交通信号系统维护模块基于道岔等城市轨道交通信号系统实物平台，考核手摇道岔操作、道岔故障分析与处理、信号机故障分析与处理、轨道电路故障分析与处理、联锁设备故障分析与处理等内容。</w:t>
      </w:r>
    </w:p>
    <w:p w14:paraId="1607C5D9">
      <w:pPr>
        <w:pageBreakBefore w:val="0"/>
        <w:widowControl w:val="0"/>
        <w:kinsoku/>
        <w:wordWrap/>
        <w:overflowPunct/>
        <w:topLinePunct w:val="0"/>
        <w:autoSpaceDE/>
        <w:autoSpaceDN/>
        <w:bidi w:val="0"/>
        <w:snapToGrid w:val="0"/>
        <w:spacing w:line="560" w:lineRule="exact"/>
        <w:ind w:firstLine="562" w:firstLineChars="200"/>
        <w:textAlignment w:val="auto"/>
        <w:outlineLvl w:val="0"/>
        <w:rPr>
          <w:rFonts w:hint="eastAsia" w:ascii="仿宋_GB2312" w:hAnsi="仿宋" w:eastAsia="仿宋_GB2312" w:cs="仿宋"/>
          <w:b/>
          <w:bCs/>
          <w:sz w:val="28"/>
          <w:szCs w:val="28"/>
        </w:rPr>
      </w:pPr>
      <w:r>
        <w:rPr>
          <w:rFonts w:hint="eastAsia" w:ascii="仿宋_GB2312" w:hAnsi="仿宋" w:eastAsia="仿宋_GB2312" w:cs="仿宋"/>
          <w:b/>
          <w:bCs/>
          <w:sz w:val="28"/>
          <w:szCs w:val="28"/>
          <w:lang w:val="en-US" w:eastAsia="zh-CN"/>
        </w:rPr>
        <w:t>三、</w:t>
      </w:r>
      <w:r>
        <w:rPr>
          <w:rFonts w:hint="eastAsia" w:ascii="仿宋_GB2312" w:hAnsi="仿宋" w:eastAsia="仿宋_GB2312" w:cs="仿宋"/>
          <w:b/>
          <w:bCs/>
          <w:sz w:val="28"/>
          <w:szCs w:val="28"/>
        </w:rPr>
        <w:t>竞赛</w:t>
      </w:r>
      <w:r>
        <w:rPr>
          <w:rFonts w:hint="eastAsia" w:ascii="仿宋_GB2312" w:hAnsi="仿宋" w:eastAsia="仿宋_GB2312" w:cs="仿宋"/>
          <w:b/>
          <w:bCs/>
          <w:sz w:val="28"/>
          <w:szCs w:val="28"/>
          <w:lang w:val="en-US" w:eastAsia="zh-CN"/>
        </w:rPr>
        <w:t>要求</w:t>
      </w:r>
    </w:p>
    <w:p w14:paraId="62A08967">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lang w:eastAsia="zh-CN"/>
        </w:rPr>
      </w:pPr>
      <w:r>
        <w:rPr>
          <w:rFonts w:hint="eastAsia" w:ascii="仿宋_GB2312" w:hAnsi="仿宋_GB2312" w:eastAsia="仿宋_GB2312" w:cs="仿宋_GB2312"/>
          <w:b/>
          <w:bCs/>
          <w:kern w:val="0"/>
          <w:sz w:val="28"/>
          <w:szCs w:val="28"/>
          <w:highlight w:val="none"/>
        </w:rPr>
        <w:t>（</w:t>
      </w:r>
      <w:r>
        <w:rPr>
          <w:rFonts w:hint="eastAsia" w:ascii="仿宋_GB2312" w:hAnsi="仿宋_GB2312" w:eastAsia="仿宋_GB2312" w:cs="仿宋_GB2312"/>
          <w:b/>
          <w:bCs/>
          <w:kern w:val="0"/>
          <w:sz w:val="28"/>
          <w:szCs w:val="28"/>
          <w:highlight w:val="none"/>
          <w:lang w:val="en-US" w:eastAsia="zh-CN"/>
        </w:rPr>
        <w:t>一</w:t>
      </w:r>
      <w:r>
        <w:rPr>
          <w:rFonts w:hint="eastAsia" w:ascii="仿宋_GB2312" w:hAnsi="仿宋_GB2312" w:eastAsia="仿宋_GB2312" w:cs="仿宋_GB2312"/>
          <w:b/>
          <w:bCs/>
          <w:kern w:val="0"/>
          <w:sz w:val="28"/>
          <w:szCs w:val="28"/>
          <w:highlight w:val="none"/>
        </w:rPr>
        <w:t>）赛项</w:t>
      </w:r>
      <w:r>
        <w:rPr>
          <w:rFonts w:hint="eastAsia" w:ascii="仿宋_GB2312" w:hAnsi="仿宋_GB2312" w:eastAsia="仿宋_GB2312" w:cs="仿宋_GB2312"/>
          <w:b/>
          <w:bCs/>
          <w:kern w:val="0"/>
          <w:sz w:val="28"/>
          <w:szCs w:val="28"/>
          <w:highlight w:val="none"/>
          <w:lang w:val="en-US" w:eastAsia="zh-CN"/>
        </w:rPr>
        <w:t>竞赛内容</w:t>
      </w:r>
    </w:p>
    <w:p w14:paraId="1223FBCF">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lang w:val="en-US" w:eastAsia="zh-CN"/>
        </w:rPr>
      </w:pPr>
      <w:r>
        <w:rPr>
          <w:rFonts w:hint="eastAsia" w:ascii="仿宋_GB2312" w:hAnsi="仿宋_GB2312" w:eastAsia="仿宋_GB2312" w:cs="仿宋_GB2312"/>
          <w:kern w:val="0"/>
          <w:sz w:val="28"/>
          <w:szCs w:val="28"/>
          <w:highlight w:val="none"/>
          <w:lang w:val="en-US" w:eastAsia="zh-CN"/>
        </w:rPr>
        <w:t>参赛队伍根据赛项设置，结合专业要求，围绕生产、管理、服务一线岗位实际需求和实践要求，立足技能创新，自主确定参赛项目名称，自主设计参赛项目内容，自主选择参赛设备。</w:t>
      </w:r>
    </w:p>
    <w:p w14:paraId="650A544E">
      <w:pPr>
        <w:pageBreakBefore w:val="0"/>
        <w:widowControl w:val="0"/>
        <w:numPr>
          <w:ilvl w:val="0"/>
          <w:numId w:val="0"/>
        </w:numPr>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lang w:val="en-US" w:eastAsia="zh-CN"/>
        </w:rPr>
      </w:pPr>
      <w:r>
        <w:rPr>
          <w:rFonts w:hint="eastAsia" w:ascii="仿宋_GB2312" w:hAnsi="仿宋_GB2312" w:eastAsia="仿宋_GB2312" w:cs="仿宋_GB2312"/>
          <w:b/>
          <w:bCs/>
          <w:kern w:val="0"/>
          <w:sz w:val="28"/>
          <w:szCs w:val="28"/>
          <w:highlight w:val="none"/>
        </w:rPr>
        <w:t>（</w:t>
      </w:r>
      <w:r>
        <w:rPr>
          <w:rFonts w:hint="eastAsia" w:ascii="仿宋_GB2312" w:hAnsi="仿宋_GB2312" w:eastAsia="仿宋_GB2312" w:cs="仿宋_GB2312"/>
          <w:b/>
          <w:bCs/>
          <w:kern w:val="0"/>
          <w:sz w:val="28"/>
          <w:szCs w:val="28"/>
          <w:highlight w:val="none"/>
          <w:lang w:val="en-US" w:eastAsia="zh-CN"/>
        </w:rPr>
        <w:t>二</w:t>
      </w:r>
      <w:r>
        <w:rPr>
          <w:rFonts w:hint="eastAsia" w:ascii="仿宋_GB2312" w:hAnsi="仿宋_GB2312" w:eastAsia="仿宋_GB2312" w:cs="仿宋_GB2312"/>
          <w:b/>
          <w:bCs/>
          <w:kern w:val="0"/>
          <w:sz w:val="28"/>
          <w:szCs w:val="28"/>
          <w:highlight w:val="none"/>
        </w:rPr>
        <w:t>）赛项</w:t>
      </w:r>
      <w:r>
        <w:rPr>
          <w:rFonts w:hint="eastAsia" w:ascii="仿宋_GB2312" w:hAnsi="仿宋_GB2312" w:eastAsia="仿宋_GB2312" w:cs="仿宋_GB2312"/>
          <w:b/>
          <w:bCs/>
          <w:kern w:val="0"/>
          <w:sz w:val="28"/>
          <w:szCs w:val="28"/>
          <w:highlight w:val="none"/>
          <w:lang w:val="en-US" w:eastAsia="zh-CN"/>
        </w:rPr>
        <w:t>呈现方式</w:t>
      </w:r>
    </w:p>
    <w:p w14:paraId="368AC181">
      <w:pPr>
        <w:pStyle w:val="7"/>
        <w:pageBreakBefore w:val="0"/>
        <w:widowControl w:val="0"/>
        <w:numPr>
          <w:ilvl w:val="0"/>
          <w:numId w:val="0"/>
        </w:numPr>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参赛队伍依据项目任务，按团队成员分工，同步进行技能操作和现场讲解。技能操作重点展示专业技能熟练程度、规范程度以及解决技术难题的创新能力，现场讲解主要介绍总体思路、技能要点、主要成果、项目创新等。</w:t>
      </w:r>
    </w:p>
    <w:p w14:paraId="4DABF324">
      <w:pPr>
        <w:pStyle w:val="7"/>
        <w:pageBreakBefore w:val="0"/>
        <w:widowControl w:val="0"/>
        <w:numPr>
          <w:ilvl w:val="0"/>
          <w:numId w:val="0"/>
        </w:numPr>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（三）评分要素</w:t>
      </w:r>
    </w:p>
    <w:p w14:paraId="0D94B4D2">
      <w:pPr>
        <w:pStyle w:val="7"/>
        <w:pageBreakBefore w:val="0"/>
        <w:widowControl w:val="0"/>
        <w:numPr>
          <w:ilvl w:val="0"/>
          <w:numId w:val="0"/>
        </w:numPr>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主要从技能水平、职业素养、应用价值、团队合作、创新创意等五个方面，按权重对参赛队伍做整体评价。评分要素表表1所示.</w:t>
      </w:r>
    </w:p>
    <w:p w14:paraId="33E3BCD0">
      <w:pPr>
        <w:pageBreakBefore w:val="0"/>
        <w:widowControl w:val="0"/>
        <w:kinsoku/>
        <w:wordWrap/>
        <w:overflowPunct/>
        <w:topLinePunct w:val="0"/>
        <w:bidi w:val="0"/>
        <w:adjustRightInd/>
        <w:spacing w:before="88" w:line="560" w:lineRule="exact"/>
        <w:ind w:right="2915"/>
        <w:jc w:val="center"/>
        <w:textAlignment w:val="auto"/>
        <w:rPr>
          <w:rFonts w:hint="eastAsia" w:ascii="仿宋_GB2312" w:hAnsi="仿宋_GB2312" w:eastAsia="仿宋_GB2312" w:cs="仿宋_GB2312"/>
          <w:b w:val="0"/>
          <w:bCs w:val="0"/>
          <w:sz w:val="28"/>
          <w:szCs w:val="28"/>
          <w:lang w:val="en-US" w:eastAsia="zh-CN"/>
        </w:rPr>
      </w:pPr>
      <w:r>
        <w:rPr>
          <w:rFonts w:hint="eastAsia" w:ascii="仿宋_GB2312" w:hAnsi="仿宋_GB2312" w:eastAsia="仿宋_GB2312" w:cs="仿宋_GB2312"/>
          <w:b/>
          <w:bCs/>
          <w:spacing w:val="30"/>
          <w:sz w:val="28"/>
          <w:szCs w:val="28"/>
          <w:lang w:val="en-US" w:eastAsia="zh-CN"/>
        </w:rPr>
        <w:t xml:space="preserve">            表1 </w:t>
      </w:r>
      <w:r>
        <w:rPr>
          <w:rFonts w:hint="eastAsia" w:ascii="仿宋_GB2312" w:hAnsi="仿宋_GB2312" w:eastAsia="仿宋_GB2312" w:cs="仿宋_GB2312"/>
          <w:b/>
          <w:bCs/>
          <w:spacing w:val="30"/>
          <w:sz w:val="28"/>
          <w:szCs w:val="28"/>
        </w:rPr>
        <w:t>评分要素</w:t>
      </w:r>
      <w:r>
        <w:rPr>
          <w:rFonts w:hint="eastAsia" w:ascii="仿宋_GB2312" w:hAnsi="仿宋_GB2312" w:eastAsia="仿宋_GB2312" w:cs="仿宋_GB2312"/>
          <w:b/>
          <w:bCs/>
          <w:spacing w:val="30"/>
          <w:sz w:val="28"/>
          <w:szCs w:val="28"/>
          <w:lang w:val="en-US" w:eastAsia="zh-CN"/>
        </w:rPr>
        <w:t>表</w:t>
      </w:r>
    </w:p>
    <w:p w14:paraId="0F42FCF8">
      <w:pPr>
        <w:pageBreakBefore w:val="0"/>
        <w:widowControl w:val="0"/>
        <w:kinsoku/>
        <w:wordWrap/>
        <w:overflowPunct/>
        <w:topLinePunct w:val="0"/>
        <w:bidi w:val="0"/>
        <w:adjustRightInd/>
        <w:spacing w:before="1" w:line="560" w:lineRule="exact"/>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spacing w:val="-18"/>
          <w:sz w:val="28"/>
          <w:szCs w:val="28"/>
        </w:rPr>
        <w:t>(原则：突出能力导向、解决实际问题、体现创新因素、确保</w:t>
      </w:r>
      <w:r>
        <w:rPr>
          <w:rFonts w:hint="eastAsia" w:ascii="仿宋_GB2312" w:hAnsi="仿宋_GB2312" w:eastAsia="仿宋_GB2312" w:cs="仿宋_GB2312"/>
          <w:spacing w:val="-19"/>
          <w:sz w:val="28"/>
          <w:szCs w:val="28"/>
        </w:rPr>
        <w:t>公平可比)</w:t>
      </w:r>
    </w:p>
    <w:tbl>
      <w:tblPr>
        <w:tblStyle w:val="1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8"/>
        <w:gridCol w:w="6880"/>
        <w:gridCol w:w="1018"/>
      </w:tblGrid>
      <w:tr w14:paraId="4E6C0F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8" w:type="dxa"/>
            <w:vAlign w:val="top"/>
          </w:tcPr>
          <w:p w14:paraId="77E6FA33">
            <w:pPr>
              <w:pStyle w:val="33"/>
              <w:pageBreakBefore w:val="0"/>
              <w:widowControl w:val="0"/>
              <w:kinsoku/>
              <w:wordWrap/>
              <w:overflowPunct/>
              <w:topLinePunct w:val="0"/>
              <w:bidi w:val="0"/>
              <w:adjustRightInd/>
              <w:spacing w:before="12" w:line="560" w:lineRule="exact"/>
              <w:ind w:right="113" w:rightChars="0"/>
              <w:jc w:val="center"/>
              <w:textAlignment w:val="auto"/>
              <w:rPr>
                <w:rFonts w:hint="eastAsia" w:ascii="仿宋_GB2312" w:hAnsi="仿宋_GB2312" w:eastAsia="仿宋_GB2312" w:cs="仿宋_GB2312"/>
                <w:b/>
                <w:bCs/>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评分</w:t>
            </w:r>
          </w:p>
          <w:p w14:paraId="1B2B4BF5">
            <w:pPr>
              <w:pStyle w:val="33"/>
              <w:pageBreakBefore w:val="0"/>
              <w:widowControl w:val="0"/>
              <w:kinsoku/>
              <w:wordWrap/>
              <w:overflowPunct/>
              <w:topLinePunct w:val="0"/>
              <w:bidi w:val="0"/>
              <w:adjustRightInd/>
              <w:spacing w:before="12" w:line="560" w:lineRule="exact"/>
              <w:ind w:right="113" w:rightChars="0"/>
              <w:jc w:val="center"/>
              <w:textAlignment w:val="auto"/>
              <w:rPr>
                <w:rFonts w:hint="eastAsia" w:ascii="仿宋_GB2312" w:hAnsi="仿宋_GB2312" w:eastAsia="仿宋_GB2312" w:cs="仿宋_GB2312"/>
                <w:b/>
                <w:bCs/>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要点</w:t>
            </w:r>
          </w:p>
        </w:tc>
        <w:tc>
          <w:tcPr>
            <w:tcW w:w="6880" w:type="dxa"/>
            <w:vAlign w:val="top"/>
          </w:tcPr>
          <w:p w14:paraId="423F24EE">
            <w:pPr>
              <w:pStyle w:val="33"/>
              <w:pageBreakBefore w:val="0"/>
              <w:widowControl w:val="0"/>
              <w:kinsoku/>
              <w:wordWrap/>
              <w:overflowPunct/>
              <w:topLinePunct w:val="0"/>
              <w:bidi w:val="0"/>
              <w:adjustRightInd/>
              <w:spacing w:before="142" w:line="560" w:lineRule="exact"/>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评审内容</w:t>
            </w:r>
          </w:p>
        </w:tc>
        <w:tc>
          <w:tcPr>
            <w:tcW w:w="1018" w:type="dxa"/>
            <w:vAlign w:val="top"/>
          </w:tcPr>
          <w:p w14:paraId="326511F0">
            <w:pPr>
              <w:pStyle w:val="33"/>
              <w:pageBreakBefore w:val="0"/>
              <w:widowControl w:val="0"/>
              <w:kinsoku/>
              <w:wordWrap/>
              <w:overflowPunct/>
              <w:topLinePunct w:val="0"/>
              <w:bidi w:val="0"/>
              <w:adjustRightInd/>
              <w:spacing w:before="142" w:line="560" w:lineRule="exact"/>
              <w:ind w:left="79" w:leftChars="0"/>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权重</w:t>
            </w:r>
          </w:p>
        </w:tc>
      </w:tr>
      <w:tr w14:paraId="5F016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8" w:type="dxa"/>
            <w:vAlign w:val="top"/>
          </w:tcPr>
          <w:p w14:paraId="27515A7B">
            <w:pPr>
              <w:pStyle w:val="33"/>
              <w:pageBreakBefore w:val="0"/>
              <w:widowControl w:val="0"/>
              <w:kinsoku/>
              <w:wordWrap/>
              <w:overflowPunct/>
              <w:topLinePunct w:val="0"/>
              <w:bidi w:val="0"/>
              <w:adjustRightInd/>
              <w:spacing w:before="108" w:line="560" w:lineRule="exact"/>
              <w:ind w:left="124" w:leftChars="0" w:right="136" w:rightChars="0"/>
              <w:jc w:val="center"/>
              <w:textAlignment w:val="auto"/>
              <w:rPr>
                <w:rFonts w:hint="eastAsia" w:ascii="仿宋_GB2312" w:hAnsi="仿宋_GB2312" w:eastAsia="仿宋_GB2312" w:cs="仿宋_GB2312"/>
                <w:b/>
                <w:bCs/>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技能 水平</w:t>
            </w:r>
          </w:p>
        </w:tc>
        <w:tc>
          <w:tcPr>
            <w:tcW w:w="6880" w:type="dxa"/>
            <w:vAlign w:val="top"/>
          </w:tcPr>
          <w:p w14:paraId="56D150AE">
            <w:pPr>
              <w:pStyle w:val="33"/>
              <w:pageBreakBefore w:val="0"/>
              <w:widowControl w:val="0"/>
              <w:kinsoku/>
              <w:wordWrap/>
              <w:overflowPunct/>
              <w:topLinePunct w:val="0"/>
              <w:bidi w:val="0"/>
              <w:adjustRightInd/>
              <w:spacing w:before="6" w:line="560" w:lineRule="exact"/>
              <w:jc w:val="both"/>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1.熟练掌握本专业或工作岗位的技能。</w:t>
            </w:r>
          </w:p>
          <w:p w14:paraId="234B10F5">
            <w:pPr>
              <w:pStyle w:val="33"/>
              <w:pageBreakBefore w:val="0"/>
              <w:widowControl w:val="0"/>
              <w:kinsoku/>
              <w:wordWrap/>
              <w:overflowPunct/>
              <w:topLinePunct w:val="0"/>
              <w:bidi w:val="0"/>
              <w:adjustRightInd/>
              <w:spacing w:line="560" w:lineRule="exact"/>
              <w:jc w:val="both"/>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2.技能操作规范，符合行业和岗位标准。</w:t>
            </w:r>
          </w:p>
          <w:p w14:paraId="5CF1A631">
            <w:pPr>
              <w:pStyle w:val="33"/>
              <w:pageBreakBefore w:val="0"/>
              <w:widowControl w:val="0"/>
              <w:kinsoku/>
              <w:wordWrap/>
              <w:overflowPunct/>
              <w:topLinePunct w:val="0"/>
              <w:bidi w:val="0"/>
              <w:adjustRightInd/>
              <w:spacing w:before="28" w:line="560" w:lineRule="exact"/>
              <w:jc w:val="both"/>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3.具备较高的技能操作水平及解决复杂问题的综合能力。</w:t>
            </w:r>
          </w:p>
        </w:tc>
        <w:tc>
          <w:tcPr>
            <w:tcW w:w="1018" w:type="dxa"/>
            <w:vAlign w:val="top"/>
          </w:tcPr>
          <w:p w14:paraId="567C2036">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kern w:val="0"/>
                <w:sz w:val="28"/>
                <w:szCs w:val="28"/>
                <w:highlight w:val="none"/>
                <w:lang w:val="en-US" w:eastAsia="zh-CN" w:bidi="ar-SA"/>
              </w:rPr>
            </w:pPr>
          </w:p>
          <w:p w14:paraId="4569216F">
            <w:pPr>
              <w:pStyle w:val="33"/>
              <w:pageBreakBefore w:val="0"/>
              <w:widowControl w:val="0"/>
              <w:kinsoku/>
              <w:wordWrap/>
              <w:overflowPunct/>
              <w:topLinePunct w:val="0"/>
              <w:bidi w:val="0"/>
              <w:adjustRightInd/>
              <w:spacing w:before="56" w:line="560" w:lineRule="exact"/>
              <w:ind w:left="120" w:leftChars="0"/>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60%</w:t>
            </w:r>
          </w:p>
        </w:tc>
      </w:tr>
      <w:tr w14:paraId="2C5B7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8" w:type="dxa"/>
            <w:vAlign w:val="top"/>
          </w:tcPr>
          <w:p w14:paraId="2A7EFE33">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b/>
                <w:bCs/>
                <w:kern w:val="0"/>
                <w:sz w:val="28"/>
                <w:szCs w:val="28"/>
                <w:highlight w:val="none"/>
                <w:lang w:val="en-US" w:eastAsia="zh-CN" w:bidi="ar-SA"/>
              </w:rPr>
            </w:pPr>
          </w:p>
          <w:p w14:paraId="161C3EC9">
            <w:pPr>
              <w:pStyle w:val="33"/>
              <w:pageBreakBefore w:val="0"/>
              <w:widowControl w:val="0"/>
              <w:kinsoku/>
              <w:wordWrap/>
              <w:overflowPunct/>
              <w:topLinePunct w:val="0"/>
              <w:bidi w:val="0"/>
              <w:adjustRightInd/>
              <w:spacing w:before="55" w:line="560" w:lineRule="exact"/>
              <w:ind w:left="124" w:leftChars="0" w:right="136" w:rightChars="0"/>
              <w:jc w:val="center"/>
              <w:textAlignment w:val="auto"/>
              <w:rPr>
                <w:rFonts w:hint="eastAsia" w:ascii="仿宋_GB2312" w:hAnsi="仿宋_GB2312" w:eastAsia="仿宋_GB2312" w:cs="仿宋_GB2312"/>
                <w:b/>
                <w:bCs/>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职业 素养</w:t>
            </w:r>
          </w:p>
        </w:tc>
        <w:tc>
          <w:tcPr>
            <w:tcW w:w="6880" w:type="dxa"/>
            <w:vAlign w:val="top"/>
          </w:tcPr>
          <w:p w14:paraId="1A5FE73D">
            <w:pPr>
              <w:pStyle w:val="33"/>
              <w:pageBreakBefore w:val="0"/>
              <w:widowControl w:val="0"/>
              <w:kinsoku/>
              <w:wordWrap/>
              <w:overflowPunct/>
              <w:topLinePunct w:val="0"/>
              <w:bidi w:val="0"/>
              <w:adjustRightInd/>
              <w:spacing w:before="8" w:line="560" w:lineRule="exact"/>
              <w:ind w:left="50"/>
              <w:jc w:val="both"/>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1.展现较好的职业伦理，具有工匠精神。</w:t>
            </w:r>
          </w:p>
          <w:p w14:paraId="62D1C157">
            <w:pPr>
              <w:pStyle w:val="33"/>
              <w:pageBreakBefore w:val="0"/>
              <w:widowControl w:val="0"/>
              <w:kinsoku/>
              <w:wordWrap/>
              <w:overflowPunct/>
              <w:topLinePunct w:val="0"/>
              <w:bidi w:val="0"/>
              <w:adjustRightInd/>
              <w:spacing w:before="1" w:line="560" w:lineRule="exact"/>
              <w:ind w:left="49" w:hanging="9"/>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2.展现学校对学生全面培养、基本素养培育和成长发展的成效。</w:t>
            </w:r>
          </w:p>
          <w:p w14:paraId="0F2A2212">
            <w:pPr>
              <w:pStyle w:val="33"/>
              <w:pageBreakBefore w:val="0"/>
              <w:widowControl w:val="0"/>
              <w:kinsoku/>
              <w:wordWrap/>
              <w:overflowPunct/>
              <w:topLinePunct w:val="0"/>
              <w:bidi w:val="0"/>
              <w:adjustRightInd/>
              <w:spacing w:before="1" w:line="560" w:lineRule="exact"/>
              <w:ind w:left="40" w:leftChars="0" w:right="346" w:rightChars="0" w:firstLine="10" w:firstLineChars="0"/>
              <w:jc w:val="both"/>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3.展现职业教育育人成果，体现产教融合、科教融汇。</w:t>
            </w:r>
          </w:p>
          <w:p w14:paraId="390CE4A0">
            <w:pPr>
              <w:pStyle w:val="33"/>
              <w:pageBreakBefore w:val="0"/>
              <w:widowControl w:val="0"/>
              <w:kinsoku/>
              <w:wordWrap/>
              <w:overflowPunct/>
              <w:topLinePunct w:val="0"/>
              <w:bidi w:val="0"/>
              <w:adjustRightInd/>
              <w:spacing w:before="1" w:line="560" w:lineRule="exact"/>
              <w:ind w:left="40" w:leftChars="0" w:right="346" w:rightChars="0" w:firstLine="10" w:firstLineChars="0"/>
              <w:jc w:val="both"/>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4.具备良好的职业道德、职业精神、职业素养。</w:t>
            </w:r>
          </w:p>
        </w:tc>
        <w:tc>
          <w:tcPr>
            <w:tcW w:w="1018" w:type="dxa"/>
            <w:vAlign w:val="top"/>
          </w:tcPr>
          <w:p w14:paraId="0B610688">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kern w:val="0"/>
                <w:sz w:val="28"/>
                <w:szCs w:val="28"/>
                <w:highlight w:val="none"/>
                <w:lang w:val="en-US" w:eastAsia="zh-CN" w:bidi="ar-SA"/>
              </w:rPr>
            </w:pPr>
          </w:p>
          <w:p w14:paraId="555A96DC">
            <w:pPr>
              <w:pStyle w:val="33"/>
              <w:pageBreakBefore w:val="0"/>
              <w:widowControl w:val="0"/>
              <w:kinsoku/>
              <w:wordWrap/>
              <w:overflowPunct/>
              <w:topLinePunct w:val="0"/>
              <w:bidi w:val="0"/>
              <w:adjustRightInd/>
              <w:spacing w:before="56" w:line="560" w:lineRule="exact"/>
              <w:ind w:left="120" w:leftChars="0"/>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10%</w:t>
            </w:r>
          </w:p>
        </w:tc>
      </w:tr>
      <w:tr w14:paraId="03E7B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8" w:type="dxa"/>
            <w:vAlign w:val="top"/>
          </w:tcPr>
          <w:p w14:paraId="2C9681BA">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b/>
                <w:bCs/>
                <w:kern w:val="0"/>
                <w:sz w:val="28"/>
                <w:szCs w:val="28"/>
                <w:highlight w:val="none"/>
                <w:lang w:val="en-US" w:eastAsia="zh-CN" w:bidi="ar-SA"/>
              </w:rPr>
            </w:pPr>
          </w:p>
          <w:p w14:paraId="029AC8B7">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b/>
                <w:bCs/>
                <w:kern w:val="0"/>
                <w:sz w:val="28"/>
                <w:szCs w:val="28"/>
                <w:highlight w:val="none"/>
                <w:lang w:val="en-US" w:eastAsia="zh-CN" w:bidi="ar-SA"/>
              </w:rPr>
            </w:pPr>
          </w:p>
          <w:p w14:paraId="256A2DE1">
            <w:pPr>
              <w:pStyle w:val="33"/>
              <w:pageBreakBefore w:val="0"/>
              <w:widowControl w:val="0"/>
              <w:kinsoku/>
              <w:wordWrap/>
              <w:overflowPunct/>
              <w:topLinePunct w:val="0"/>
              <w:bidi w:val="0"/>
              <w:adjustRightInd/>
              <w:spacing w:before="55" w:line="560" w:lineRule="exact"/>
              <w:ind w:left="124" w:leftChars="0" w:right="108" w:rightChars="0"/>
              <w:jc w:val="center"/>
              <w:textAlignment w:val="auto"/>
              <w:rPr>
                <w:rFonts w:hint="eastAsia" w:ascii="仿宋_GB2312" w:hAnsi="仿宋_GB2312" w:eastAsia="仿宋_GB2312" w:cs="仿宋_GB2312"/>
                <w:b/>
                <w:bCs/>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应用 价值</w:t>
            </w:r>
          </w:p>
        </w:tc>
        <w:tc>
          <w:tcPr>
            <w:tcW w:w="6880" w:type="dxa"/>
            <w:vAlign w:val="top"/>
          </w:tcPr>
          <w:p w14:paraId="786BD896">
            <w:pPr>
              <w:pStyle w:val="33"/>
              <w:pageBreakBefore w:val="0"/>
              <w:widowControl w:val="0"/>
              <w:kinsoku/>
              <w:wordWrap/>
              <w:overflowPunct/>
              <w:topLinePunct w:val="0"/>
              <w:bidi w:val="0"/>
              <w:adjustRightInd/>
              <w:spacing w:before="11" w:line="560" w:lineRule="exact"/>
              <w:ind w:left="50"/>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1.有助于解决生产一线实际问题或现实困难。</w:t>
            </w:r>
          </w:p>
          <w:p w14:paraId="223D3D12">
            <w:pPr>
              <w:pStyle w:val="33"/>
              <w:pageBreakBefore w:val="0"/>
              <w:widowControl w:val="0"/>
              <w:kinsoku/>
              <w:wordWrap/>
              <w:overflowPunct/>
              <w:topLinePunct w:val="0"/>
              <w:bidi w:val="0"/>
              <w:adjustRightInd/>
              <w:spacing w:before="7" w:line="560" w:lineRule="exact"/>
              <w:ind w:left="59" w:hanging="19"/>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2.能够促进职业学校学生高质量就业，包括直接间接推动扩大就业规模等。</w:t>
            </w:r>
          </w:p>
          <w:p w14:paraId="6D2BCE5B">
            <w:pPr>
              <w:pStyle w:val="33"/>
              <w:pageBreakBefore w:val="0"/>
              <w:widowControl w:val="0"/>
              <w:kinsoku/>
              <w:wordWrap/>
              <w:overflowPunct/>
              <w:topLinePunct w:val="0"/>
              <w:bidi w:val="0"/>
              <w:adjustRightInd/>
              <w:spacing w:before="23" w:line="560" w:lineRule="exact"/>
              <w:ind w:left="50" w:firstLine="49"/>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3.对推动产业转型升级、区域经济发展、乡村振兴、城市社区治理、城乡融合发展等具有积极作用。</w:t>
            </w:r>
          </w:p>
          <w:p w14:paraId="1FBC046A">
            <w:pPr>
              <w:pStyle w:val="33"/>
              <w:pageBreakBefore w:val="0"/>
              <w:widowControl w:val="0"/>
              <w:kinsoku/>
              <w:wordWrap/>
              <w:overflowPunct/>
              <w:topLinePunct w:val="0"/>
              <w:bidi w:val="0"/>
              <w:adjustRightInd/>
              <w:spacing w:before="14" w:line="560" w:lineRule="exact"/>
              <w:ind w:left="50" w:leftChars="0" w:hanging="19" w:firstLineChars="0"/>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4.符合绿色低碳节能的可持续发展理念，有利于改善人民生活、提升人民生活质量。</w:t>
            </w:r>
          </w:p>
        </w:tc>
        <w:tc>
          <w:tcPr>
            <w:tcW w:w="1018" w:type="dxa"/>
            <w:vAlign w:val="top"/>
          </w:tcPr>
          <w:p w14:paraId="02A1B859">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kern w:val="0"/>
                <w:sz w:val="28"/>
                <w:szCs w:val="28"/>
                <w:highlight w:val="none"/>
                <w:lang w:val="en-US" w:eastAsia="zh-CN" w:bidi="ar-SA"/>
              </w:rPr>
            </w:pPr>
          </w:p>
          <w:p w14:paraId="63C3DEC0">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kern w:val="0"/>
                <w:sz w:val="28"/>
                <w:szCs w:val="28"/>
                <w:highlight w:val="none"/>
                <w:lang w:val="en-US" w:eastAsia="zh-CN" w:bidi="ar-SA"/>
              </w:rPr>
            </w:pPr>
          </w:p>
          <w:p w14:paraId="01364752">
            <w:pPr>
              <w:pStyle w:val="33"/>
              <w:pageBreakBefore w:val="0"/>
              <w:widowControl w:val="0"/>
              <w:kinsoku/>
              <w:wordWrap/>
              <w:overflowPunct/>
              <w:topLinePunct w:val="0"/>
              <w:bidi w:val="0"/>
              <w:adjustRightInd/>
              <w:spacing w:before="55" w:line="560" w:lineRule="exact"/>
              <w:ind w:left="120" w:leftChars="0"/>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10%</w:t>
            </w:r>
          </w:p>
        </w:tc>
      </w:tr>
      <w:tr w14:paraId="2BBB7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8" w:type="dxa"/>
            <w:vAlign w:val="top"/>
          </w:tcPr>
          <w:p w14:paraId="3204CA60">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b/>
                <w:bCs/>
                <w:kern w:val="0"/>
                <w:sz w:val="28"/>
                <w:szCs w:val="28"/>
                <w:highlight w:val="none"/>
                <w:lang w:val="en-US" w:eastAsia="zh-CN" w:bidi="ar-SA"/>
              </w:rPr>
            </w:pPr>
          </w:p>
          <w:p w14:paraId="5DF69D5B">
            <w:pPr>
              <w:pStyle w:val="33"/>
              <w:pageBreakBefore w:val="0"/>
              <w:widowControl w:val="0"/>
              <w:kinsoku/>
              <w:wordWrap/>
              <w:overflowPunct/>
              <w:topLinePunct w:val="0"/>
              <w:bidi w:val="0"/>
              <w:adjustRightInd/>
              <w:spacing w:before="55" w:line="560" w:lineRule="exact"/>
              <w:ind w:left="127" w:leftChars="0" w:right="122" w:rightChars="0"/>
              <w:jc w:val="center"/>
              <w:textAlignment w:val="auto"/>
              <w:rPr>
                <w:rFonts w:hint="eastAsia" w:ascii="仿宋_GB2312" w:hAnsi="仿宋_GB2312" w:eastAsia="仿宋_GB2312" w:cs="仿宋_GB2312"/>
                <w:b/>
                <w:bCs/>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团队 合作</w:t>
            </w:r>
          </w:p>
        </w:tc>
        <w:tc>
          <w:tcPr>
            <w:tcW w:w="6880" w:type="dxa"/>
            <w:vAlign w:val="top"/>
          </w:tcPr>
          <w:p w14:paraId="52D9FCB3">
            <w:pPr>
              <w:pStyle w:val="33"/>
              <w:pageBreakBefore w:val="0"/>
              <w:widowControl w:val="0"/>
              <w:kinsoku/>
              <w:wordWrap/>
              <w:overflowPunct/>
              <w:topLinePunct w:val="0"/>
              <w:bidi w:val="0"/>
              <w:adjustRightInd/>
              <w:spacing w:before="13" w:line="560" w:lineRule="exact"/>
              <w:ind w:left="40" w:firstLine="9"/>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1.团队成员能够准确理解共同目标和任务，清楚自己的角色定位和职责。</w:t>
            </w:r>
          </w:p>
          <w:p w14:paraId="67591018">
            <w:pPr>
              <w:pStyle w:val="33"/>
              <w:pageBreakBefore w:val="0"/>
              <w:widowControl w:val="0"/>
              <w:kinsoku/>
              <w:wordWrap/>
              <w:overflowPunct/>
              <w:topLinePunct w:val="0"/>
              <w:bidi w:val="0"/>
              <w:adjustRightInd/>
              <w:spacing w:before="10" w:line="560" w:lineRule="exact"/>
              <w:ind w:left="50" w:right="824" w:hanging="10"/>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 xml:space="preserve">2.团队成员在比赛中能够有效沟通、紧密协作。 </w:t>
            </w:r>
          </w:p>
          <w:p w14:paraId="4F7CAB0E">
            <w:pPr>
              <w:pStyle w:val="33"/>
              <w:pageBreakBefore w:val="0"/>
              <w:widowControl w:val="0"/>
              <w:kinsoku/>
              <w:wordWrap/>
              <w:overflowPunct/>
              <w:topLinePunct w:val="0"/>
              <w:bidi w:val="0"/>
              <w:adjustRightInd/>
              <w:spacing w:before="10" w:line="560" w:lineRule="exact"/>
              <w:ind w:left="50" w:right="824" w:hanging="10"/>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3.团队成员能够相互补合，共同应对突发情况。</w:t>
            </w:r>
          </w:p>
          <w:p w14:paraId="39ACC55F">
            <w:pPr>
              <w:pStyle w:val="33"/>
              <w:pageBreakBefore w:val="0"/>
              <w:widowControl w:val="0"/>
              <w:kinsoku/>
              <w:wordWrap/>
              <w:overflowPunct/>
              <w:topLinePunct w:val="0"/>
              <w:bidi w:val="0"/>
              <w:adjustRightInd/>
              <w:spacing w:before="4" w:line="560" w:lineRule="exact"/>
              <w:ind w:left="31" w:leftChars="0"/>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4.团队成员相互尊重、信任和支持，拥有良好的团队氛围。</w:t>
            </w:r>
          </w:p>
        </w:tc>
        <w:tc>
          <w:tcPr>
            <w:tcW w:w="1018" w:type="dxa"/>
            <w:vAlign w:val="top"/>
          </w:tcPr>
          <w:p w14:paraId="3B6D93B8">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kern w:val="0"/>
                <w:sz w:val="28"/>
                <w:szCs w:val="28"/>
                <w:highlight w:val="none"/>
                <w:lang w:val="en-US" w:eastAsia="zh-CN" w:bidi="ar-SA"/>
              </w:rPr>
            </w:pPr>
          </w:p>
          <w:p w14:paraId="019F1AA7">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kern w:val="0"/>
                <w:sz w:val="28"/>
                <w:szCs w:val="28"/>
                <w:highlight w:val="none"/>
                <w:lang w:val="en-US" w:eastAsia="zh-CN" w:bidi="ar-SA"/>
              </w:rPr>
            </w:pPr>
          </w:p>
          <w:p w14:paraId="6995466E">
            <w:pPr>
              <w:pStyle w:val="33"/>
              <w:pageBreakBefore w:val="0"/>
              <w:widowControl w:val="0"/>
              <w:kinsoku/>
              <w:wordWrap/>
              <w:overflowPunct/>
              <w:topLinePunct w:val="0"/>
              <w:bidi w:val="0"/>
              <w:adjustRightInd/>
              <w:spacing w:before="55" w:line="560" w:lineRule="exact"/>
              <w:ind w:left="120" w:leftChars="0"/>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10%</w:t>
            </w:r>
          </w:p>
        </w:tc>
      </w:tr>
      <w:tr w14:paraId="30073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48" w:type="dxa"/>
            <w:vAlign w:val="top"/>
          </w:tcPr>
          <w:p w14:paraId="7E8EACA1">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b/>
                <w:bCs/>
                <w:kern w:val="0"/>
                <w:sz w:val="28"/>
                <w:szCs w:val="28"/>
                <w:highlight w:val="none"/>
                <w:lang w:val="en-US" w:eastAsia="zh-CN" w:bidi="ar-SA"/>
              </w:rPr>
            </w:pPr>
          </w:p>
          <w:p w14:paraId="4E15948C">
            <w:pPr>
              <w:pStyle w:val="33"/>
              <w:pageBreakBefore w:val="0"/>
              <w:widowControl w:val="0"/>
              <w:kinsoku/>
              <w:wordWrap/>
              <w:overflowPunct/>
              <w:topLinePunct w:val="0"/>
              <w:bidi w:val="0"/>
              <w:adjustRightInd/>
              <w:spacing w:before="56" w:line="560" w:lineRule="exact"/>
              <w:ind w:left="127" w:leftChars="0" w:right="133" w:rightChars="0"/>
              <w:jc w:val="center"/>
              <w:textAlignment w:val="auto"/>
              <w:rPr>
                <w:rFonts w:hint="eastAsia" w:ascii="仿宋_GB2312" w:hAnsi="仿宋_GB2312" w:eastAsia="仿宋_GB2312" w:cs="仿宋_GB2312"/>
                <w:b/>
                <w:bCs/>
                <w:kern w:val="0"/>
                <w:sz w:val="28"/>
                <w:szCs w:val="28"/>
                <w:highlight w:val="none"/>
                <w:lang w:val="en-US" w:eastAsia="zh-CN" w:bidi="ar-SA"/>
              </w:rPr>
            </w:pPr>
            <w:r>
              <w:rPr>
                <w:rFonts w:hint="eastAsia" w:ascii="仿宋_GB2312" w:hAnsi="仿宋_GB2312" w:eastAsia="仿宋_GB2312" w:cs="仿宋_GB2312"/>
                <w:b/>
                <w:bCs/>
                <w:kern w:val="0"/>
                <w:sz w:val="28"/>
                <w:szCs w:val="28"/>
                <w:highlight w:val="none"/>
                <w:lang w:val="en-US" w:eastAsia="zh-CN" w:bidi="ar-SA"/>
              </w:rPr>
              <w:t>创新 创意</w:t>
            </w:r>
          </w:p>
        </w:tc>
        <w:tc>
          <w:tcPr>
            <w:tcW w:w="6880" w:type="dxa"/>
            <w:vAlign w:val="top"/>
          </w:tcPr>
          <w:p w14:paraId="09E40BC6">
            <w:pPr>
              <w:pStyle w:val="33"/>
              <w:pageBreakBefore w:val="0"/>
              <w:widowControl w:val="0"/>
              <w:kinsoku/>
              <w:wordWrap/>
              <w:overflowPunct/>
              <w:topLinePunct w:val="0"/>
              <w:bidi w:val="0"/>
              <w:adjustRightInd/>
              <w:spacing w:before="16" w:line="560" w:lineRule="exact"/>
              <w:ind w:left="50"/>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1.体现原始创意、创新。</w:t>
            </w:r>
          </w:p>
          <w:p w14:paraId="40A77E60">
            <w:pPr>
              <w:pStyle w:val="33"/>
              <w:pageBreakBefore w:val="0"/>
              <w:widowControl w:val="0"/>
              <w:kinsoku/>
              <w:wordWrap/>
              <w:overflowPunct/>
              <w:topLinePunct w:val="0"/>
              <w:bidi w:val="0"/>
              <w:adjustRightInd/>
              <w:spacing w:before="16" w:line="560" w:lineRule="exact"/>
              <w:ind w:left="50" w:firstLine="29"/>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2.体现面向职业和岗位的创意及创新，侧重于加工工艺创新、实用技术创新、产品(技术)数字化改良、应用性优化、民生类创意等。</w:t>
            </w:r>
          </w:p>
          <w:p w14:paraId="29A4FF7A">
            <w:pPr>
              <w:pStyle w:val="33"/>
              <w:pageBreakBefore w:val="0"/>
              <w:widowControl w:val="0"/>
              <w:kinsoku/>
              <w:wordWrap/>
              <w:overflowPunct/>
              <w:topLinePunct w:val="0"/>
              <w:bidi w:val="0"/>
              <w:adjustRightInd/>
              <w:spacing w:before="37" w:line="560" w:lineRule="exact"/>
              <w:ind w:left="80" w:leftChars="0"/>
              <w:jc w:val="left"/>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3.体现团队成员创新精神和创新能力。</w:t>
            </w:r>
          </w:p>
        </w:tc>
        <w:tc>
          <w:tcPr>
            <w:tcW w:w="1018" w:type="dxa"/>
            <w:vAlign w:val="top"/>
          </w:tcPr>
          <w:p w14:paraId="03D9C83D">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kern w:val="0"/>
                <w:sz w:val="28"/>
                <w:szCs w:val="28"/>
                <w:highlight w:val="none"/>
                <w:lang w:val="en-US" w:eastAsia="zh-CN" w:bidi="ar-SA"/>
              </w:rPr>
            </w:pPr>
          </w:p>
          <w:p w14:paraId="4CA0B088">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kern w:val="0"/>
                <w:sz w:val="28"/>
                <w:szCs w:val="28"/>
                <w:highlight w:val="none"/>
                <w:lang w:val="en-US" w:eastAsia="zh-CN" w:bidi="ar-SA"/>
              </w:rPr>
            </w:pPr>
          </w:p>
          <w:p w14:paraId="469AFBC8">
            <w:pPr>
              <w:pStyle w:val="33"/>
              <w:pageBreakBefore w:val="0"/>
              <w:widowControl w:val="0"/>
              <w:kinsoku/>
              <w:wordWrap/>
              <w:overflowPunct/>
              <w:topLinePunct w:val="0"/>
              <w:bidi w:val="0"/>
              <w:adjustRightInd/>
              <w:spacing w:before="55" w:line="560" w:lineRule="exact"/>
              <w:ind w:left="120" w:leftChars="0"/>
              <w:jc w:val="center"/>
              <w:textAlignment w:val="auto"/>
              <w:rPr>
                <w:rFonts w:hint="eastAsia" w:ascii="仿宋_GB2312" w:hAnsi="仿宋_GB2312" w:eastAsia="仿宋_GB2312" w:cs="仿宋_GB2312"/>
                <w:kern w:val="0"/>
                <w:sz w:val="28"/>
                <w:szCs w:val="28"/>
                <w:highlight w:val="none"/>
                <w:lang w:val="en-US" w:eastAsia="zh-CN" w:bidi="ar-SA"/>
              </w:rPr>
            </w:pPr>
            <w:r>
              <w:rPr>
                <w:rFonts w:hint="eastAsia" w:ascii="仿宋_GB2312" w:hAnsi="仿宋_GB2312" w:eastAsia="仿宋_GB2312" w:cs="仿宋_GB2312"/>
                <w:kern w:val="0"/>
                <w:sz w:val="28"/>
                <w:szCs w:val="28"/>
                <w:highlight w:val="none"/>
                <w:lang w:val="en-US" w:eastAsia="zh-CN" w:bidi="ar-SA"/>
              </w:rPr>
              <w:t>10%</w:t>
            </w:r>
          </w:p>
        </w:tc>
      </w:tr>
    </w:tbl>
    <w:p w14:paraId="451400FF">
      <w:pPr>
        <w:pageBreakBefore w:val="0"/>
        <w:widowControl w:val="0"/>
        <w:kinsoku/>
        <w:wordWrap/>
        <w:overflowPunct/>
        <w:topLinePunct w:val="0"/>
        <w:bidi w:val="0"/>
        <w:adjustRightInd/>
        <w:snapToGrid w:val="0"/>
        <w:spacing w:line="560" w:lineRule="exact"/>
        <w:ind w:firstLine="560" w:firstLineChars="200"/>
        <w:jc w:val="center"/>
        <w:textAlignment w:val="auto"/>
        <w:rPr>
          <w:rFonts w:hint="eastAsia" w:ascii="仿宋_GB2312" w:hAnsi="仿宋_GB2312" w:eastAsia="仿宋_GB2312" w:cs="仿宋_GB2312"/>
          <w:sz w:val="28"/>
          <w:szCs w:val="28"/>
          <w:highlight w:val="none"/>
        </w:rPr>
      </w:pPr>
    </w:p>
    <w:p w14:paraId="5B3BEAD2">
      <w:pPr>
        <w:pageBreakBefore w:val="0"/>
        <w:widowControl w:val="0"/>
        <w:kinsoku/>
        <w:wordWrap/>
        <w:overflowPunct/>
        <w:topLinePunct w:val="0"/>
        <w:bidi w:val="0"/>
        <w:adjustRightInd/>
        <w:snapToGrid w:val="0"/>
        <w:spacing w:line="560" w:lineRule="exact"/>
        <w:ind w:firstLine="562" w:firstLineChars="200"/>
        <w:textAlignment w:val="auto"/>
        <w:rPr>
          <w:rFonts w:hint="eastAsia" w:ascii="仿宋_GB2312" w:hAnsi="仿宋_GB2312" w:eastAsia="仿宋_GB2312" w:cs="仿宋_GB2312"/>
          <w:b/>
          <w:bCs/>
          <w:spacing w:val="-8"/>
          <w:sz w:val="28"/>
          <w:szCs w:val="28"/>
          <w:highlight w:val="none"/>
        </w:rPr>
      </w:pPr>
      <w:r>
        <w:rPr>
          <w:rFonts w:hint="eastAsia" w:ascii="仿宋_GB2312" w:hAnsi="仿宋_GB2312" w:eastAsia="仿宋_GB2312" w:cs="仿宋_GB2312"/>
          <w:b/>
          <w:bCs/>
          <w:sz w:val="28"/>
          <w:szCs w:val="28"/>
          <w:highlight w:val="none"/>
        </w:rPr>
        <w:t>四</w:t>
      </w:r>
      <w:r>
        <w:rPr>
          <w:rFonts w:hint="eastAsia" w:ascii="仿宋_GB2312" w:hAnsi="仿宋_GB2312" w:eastAsia="仿宋_GB2312" w:cs="仿宋_GB2312"/>
          <w:b/>
          <w:bCs/>
          <w:spacing w:val="-29"/>
          <w:sz w:val="28"/>
          <w:szCs w:val="28"/>
          <w:highlight w:val="none"/>
        </w:rPr>
        <w:t>、</w:t>
      </w:r>
      <w:r>
        <w:rPr>
          <w:rFonts w:hint="eastAsia" w:ascii="仿宋_GB2312" w:hAnsi="仿宋_GB2312" w:eastAsia="仿宋_GB2312" w:cs="仿宋_GB2312"/>
          <w:b/>
          <w:bCs/>
          <w:spacing w:val="-8"/>
          <w:sz w:val="28"/>
          <w:szCs w:val="28"/>
          <w:highlight w:val="none"/>
        </w:rPr>
        <w:t>竞赛方式</w:t>
      </w:r>
    </w:p>
    <w:p w14:paraId="7D1A0181">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（一）竞赛形式</w:t>
      </w:r>
    </w:p>
    <w:p w14:paraId="7E87A14E">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rPr>
        <w:t>竞赛形式为线下比赛。</w:t>
      </w:r>
      <w:r>
        <w:rPr>
          <w:rFonts w:hint="eastAsia" w:ascii="仿宋_GB2312" w:hAnsi="仿宋_GB2312" w:eastAsia="仿宋_GB2312" w:cs="仿宋_GB2312"/>
          <w:sz w:val="28"/>
          <w:szCs w:val="28"/>
          <w:highlight w:val="none"/>
          <w:lang w:val="en-US" w:eastAsia="zh-CN"/>
        </w:rPr>
        <w:t>比赛须完成一个完整的工作任务。</w:t>
      </w:r>
    </w:p>
    <w:p w14:paraId="339C4090">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（二）组队方式</w:t>
      </w:r>
    </w:p>
    <w:p w14:paraId="747BDD34">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本赛项为团体赛。每支参赛队由2</w:t>
      </w:r>
      <w:r>
        <w:rPr>
          <w:rFonts w:hint="eastAsia" w:ascii="仿宋_GB2312" w:hAnsi="仿宋_GB2312" w:eastAsia="仿宋_GB2312" w:cs="仿宋_GB2312"/>
          <w:sz w:val="28"/>
          <w:szCs w:val="28"/>
          <w:highlight w:val="none"/>
          <w:lang w:val="en-US" w:eastAsia="zh-CN"/>
        </w:rPr>
        <w:t>-4</w:t>
      </w:r>
      <w:r>
        <w:rPr>
          <w:rFonts w:hint="eastAsia" w:ascii="仿宋_GB2312" w:hAnsi="仿宋_GB2312" w:eastAsia="仿宋_GB2312" w:cs="仿宋_GB2312"/>
          <w:sz w:val="28"/>
          <w:szCs w:val="28"/>
          <w:highlight w:val="none"/>
        </w:rPr>
        <w:t>名比赛选手组成</w:t>
      </w:r>
      <w:r>
        <w:rPr>
          <w:rFonts w:hint="eastAsia" w:ascii="仿宋_GB2312" w:hAnsi="仿宋_GB2312" w:eastAsia="仿宋_GB2312" w:cs="仿宋_GB2312"/>
          <w:sz w:val="28"/>
          <w:szCs w:val="28"/>
          <w:highlight w:val="none"/>
          <w:lang w:val="en-US" w:eastAsia="zh-CN"/>
        </w:rPr>
        <w:t>且每支参赛队伍不超过4人</w:t>
      </w:r>
      <w:r>
        <w:rPr>
          <w:rFonts w:hint="eastAsia" w:ascii="仿宋_GB2312" w:hAnsi="仿宋_GB2312" w:eastAsia="仿宋_GB2312" w:cs="仿宋_GB2312"/>
          <w:sz w:val="28"/>
          <w:szCs w:val="28"/>
          <w:highlight w:val="none"/>
        </w:rPr>
        <w:t>。每支队伍可配置1-2名指导教师。</w:t>
      </w:r>
    </w:p>
    <w:p w14:paraId="4EA095C0">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（三）选手报名资格</w:t>
      </w:r>
    </w:p>
    <w:p w14:paraId="78D59595">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color w:val="000000" w:themeColor="text1"/>
          <w:sz w:val="28"/>
          <w:szCs w:val="28"/>
          <w:highlight w:val="none"/>
          <w14:textFill>
            <w14:solidFill>
              <w14:schemeClr w14:val="tx1"/>
            </w14:solidFill>
          </w14:textFill>
        </w:rPr>
      </w:pPr>
      <w:r>
        <w:rPr>
          <w:rFonts w:hint="eastAsia" w:ascii="仿宋_GB2312" w:hAnsi="仿宋_GB2312" w:eastAsia="仿宋_GB2312" w:cs="仿宋_GB2312"/>
          <w:sz w:val="28"/>
          <w:szCs w:val="28"/>
          <w:highlight w:val="none"/>
        </w:rPr>
        <w:t>参赛选手必须为中等职业学校全日制在籍学生，或五年制高职一至三年级（含三年级）全日制在籍学生。选手必须来自同一所学校，不得跨校组队。</w:t>
      </w:r>
      <w:r>
        <w:rPr>
          <w:rFonts w:hint="eastAsia" w:ascii="仿宋_GB2312" w:hAnsi="仿宋_GB2312" w:eastAsia="仿宋_GB2312" w:cs="仿宋_GB2312"/>
          <w:color w:val="000000" w:themeColor="text1"/>
          <w:sz w:val="28"/>
          <w:szCs w:val="28"/>
          <w:highlight w:val="none"/>
          <w14:textFill>
            <w14:solidFill>
              <w14:schemeClr w14:val="tx1"/>
            </w14:solidFill>
          </w14:textFill>
        </w:rPr>
        <w:t>在往届省级或全国职业院校技能大赛本赛项中获奖的选手，不允许重复报名参赛。</w:t>
      </w:r>
    </w:p>
    <w:p w14:paraId="4A608AB8">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（四）比赛日期及地点</w:t>
      </w:r>
    </w:p>
    <w:p w14:paraId="3D2F215A">
      <w:pPr>
        <w:pStyle w:val="7"/>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rPr>
        <w:t>比赛日期：</w:t>
      </w:r>
      <w:r>
        <w:rPr>
          <w:rFonts w:hint="eastAsia" w:ascii="仿宋_GB2312" w:hAnsi="仿宋_GB2312" w:eastAsia="仿宋_GB2312" w:cs="仿宋_GB2312"/>
          <w:sz w:val="28"/>
          <w:szCs w:val="28"/>
          <w:highlight w:val="none"/>
          <w:lang w:val="en-US" w:eastAsia="zh-CN"/>
        </w:rPr>
        <w:t>根据情况另行通知。</w:t>
      </w:r>
    </w:p>
    <w:p w14:paraId="38ACFEEB">
      <w:pPr>
        <w:pStyle w:val="7"/>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lang w:val="en-US" w:bidi="ar-SA"/>
        </w:rPr>
      </w:pPr>
      <w:r>
        <w:rPr>
          <w:rFonts w:hint="eastAsia" w:ascii="仿宋_GB2312" w:hAnsi="仿宋_GB2312" w:eastAsia="仿宋_GB2312" w:cs="仿宋_GB2312"/>
          <w:sz w:val="28"/>
          <w:szCs w:val="28"/>
          <w:highlight w:val="none"/>
        </w:rPr>
        <w:t>比赛地点：兰州现代职业学院（城市轨道交通运营管理实训中心）</w:t>
      </w:r>
    </w:p>
    <w:p w14:paraId="19E2B3EB">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spacing w:val="-8"/>
          <w:sz w:val="28"/>
          <w:szCs w:val="28"/>
          <w:highlight w:val="none"/>
        </w:rPr>
      </w:pPr>
      <w:r>
        <w:rPr>
          <w:rFonts w:hint="eastAsia" w:ascii="仿宋_GB2312" w:hAnsi="仿宋_GB2312" w:eastAsia="仿宋_GB2312" w:cs="仿宋_GB2312"/>
          <w:b/>
          <w:bCs/>
          <w:sz w:val="28"/>
          <w:szCs w:val="28"/>
          <w:highlight w:val="none"/>
        </w:rPr>
        <w:t>五、</w:t>
      </w:r>
      <w:r>
        <w:rPr>
          <w:rFonts w:hint="eastAsia" w:ascii="仿宋_GB2312" w:hAnsi="仿宋_GB2312" w:eastAsia="仿宋_GB2312" w:cs="仿宋_GB2312"/>
          <w:b/>
          <w:bCs/>
          <w:spacing w:val="-8"/>
          <w:sz w:val="28"/>
          <w:szCs w:val="28"/>
          <w:highlight w:val="none"/>
        </w:rPr>
        <w:t>竞赛流程</w:t>
      </w:r>
    </w:p>
    <w:p w14:paraId="36AE98D0">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（一）竞赛时间</w:t>
      </w:r>
    </w:p>
    <w:p w14:paraId="35144EF0">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lang w:val="en-US" w:eastAsia="zh-CN"/>
        </w:rPr>
        <w:t>每支参赛队伍比赛时长不超过一小时。</w:t>
      </w:r>
    </w:p>
    <w:p w14:paraId="03961406">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（二）竞赛日程</w:t>
      </w:r>
    </w:p>
    <w:p w14:paraId="025D7BA6">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rPr>
        <w:t>竞赛日程安排如表2。</w:t>
      </w:r>
      <w:r>
        <w:rPr>
          <w:rFonts w:hint="eastAsia" w:ascii="仿宋_GB2312" w:hAnsi="仿宋_GB2312" w:eastAsia="仿宋_GB2312" w:cs="仿宋_GB2312"/>
          <w:sz w:val="28"/>
          <w:szCs w:val="28"/>
          <w:highlight w:val="none"/>
          <w:lang w:val="en-US" w:eastAsia="zh-CN"/>
        </w:rPr>
        <w:t>模块1和模块2分开进行，</w:t>
      </w:r>
      <w:r>
        <w:rPr>
          <w:rFonts w:hint="eastAsia" w:ascii="仿宋_GB2312" w:hAnsi="仿宋_GB2312" w:eastAsia="仿宋_GB2312" w:cs="仿宋_GB2312"/>
          <w:sz w:val="28"/>
          <w:szCs w:val="28"/>
          <w:highlight w:val="none"/>
        </w:rPr>
        <w:t>实际竞赛日程</w:t>
      </w:r>
      <w:r>
        <w:rPr>
          <w:rFonts w:hint="eastAsia" w:ascii="仿宋_GB2312" w:hAnsi="仿宋_GB2312" w:eastAsia="仿宋_GB2312" w:cs="仿宋_GB2312"/>
          <w:sz w:val="28"/>
          <w:szCs w:val="28"/>
          <w:highlight w:val="none"/>
          <w:lang w:val="en-US" w:eastAsia="zh-CN"/>
        </w:rPr>
        <w:t>可</w:t>
      </w:r>
      <w:r>
        <w:rPr>
          <w:rFonts w:hint="eastAsia" w:ascii="仿宋_GB2312" w:hAnsi="仿宋_GB2312" w:eastAsia="仿宋_GB2312" w:cs="仿宋_GB2312"/>
          <w:sz w:val="28"/>
          <w:szCs w:val="28"/>
          <w:highlight w:val="none"/>
        </w:rPr>
        <w:t>根据比赛的组织需要进行适当微调。</w:t>
      </w:r>
    </w:p>
    <w:p w14:paraId="69924BF0">
      <w:pPr>
        <w:pageBreakBefore w:val="0"/>
        <w:widowControl w:val="0"/>
        <w:kinsoku/>
        <w:wordWrap/>
        <w:overflowPunct/>
        <w:topLinePunct w:val="0"/>
        <w:bidi w:val="0"/>
        <w:adjustRightInd/>
        <w:spacing w:line="560" w:lineRule="exact"/>
        <w:ind w:firstLine="562" w:firstLineChars="200"/>
        <w:jc w:val="center"/>
        <w:textAlignment w:val="auto"/>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表2 竞赛日程安排表</w:t>
      </w:r>
    </w:p>
    <w:tbl>
      <w:tblPr>
        <w:tblStyle w:val="15"/>
        <w:tblW w:w="87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1701"/>
        <w:gridCol w:w="5515"/>
      </w:tblGrid>
      <w:tr w14:paraId="5AE0E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48" w:type="dxa"/>
            <w:vAlign w:val="center"/>
          </w:tcPr>
          <w:p w14:paraId="08891F9C">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日期</w:t>
            </w:r>
          </w:p>
        </w:tc>
        <w:tc>
          <w:tcPr>
            <w:tcW w:w="1701" w:type="dxa"/>
            <w:vAlign w:val="center"/>
          </w:tcPr>
          <w:p w14:paraId="6284FC28">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时间</w:t>
            </w:r>
          </w:p>
        </w:tc>
        <w:tc>
          <w:tcPr>
            <w:tcW w:w="5515" w:type="dxa"/>
            <w:vAlign w:val="center"/>
          </w:tcPr>
          <w:p w14:paraId="2D8DD68A">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内容</w:t>
            </w:r>
          </w:p>
        </w:tc>
      </w:tr>
      <w:tr w14:paraId="1A6A0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48" w:type="dxa"/>
            <w:vMerge w:val="restart"/>
            <w:vAlign w:val="center"/>
          </w:tcPr>
          <w:p w14:paraId="4F468A73">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比赛前一天</w:t>
            </w:r>
          </w:p>
        </w:tc>
        <w:tc>
          <w:tcPr>
            <w:tcW w:w="1701" w:type="dxa"/>
            <w:vAlign w:val="center"/>
          </w:tcPr>
          <w:p w14:paraId="11A9B2DB">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14:00之前</w:t>
            </w:r>
          </w:p>
        </w:tc>
        <w:tc>
          <w:tcPr>
            <w:tcW w:w="5515" w:type="dxa"/>
            <w:vAlign w:val="center"/>
          </w:tcPr>
          <w:p w14:paraId="0E99D00B">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各参赛队报道、入住、相关资料领取</w:t>
            </w:r>
          </w:p>
        </w:tc>
      </w:tr>
      <w:tr w14:paraId="245D0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8" w:type="dxa"/>
            <w:vMerge w:val="continue"/>
            <w:vAlign w:val="center"/>
          </w:tcPr>
          <w:p w14:paraId="20FB7530">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3FA66715">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14:30-15:30</w:t>
            </w:r>
          </w:p>
        </w:tc>
        <w:tc>
          <w:tcPr>
            <w:tcW w:w="5515" w:type="dxa"/>
            <w:vAlign w:val="center"/>
          </w:tcPr>
          <w:p w14:paraId="29E8A553">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lang w:eastAsia="zh-CN"/>
              </w:rPr>
            </w:pPr>
            <w:r>
              <w:rPr>
                <w:rFonts w:hint="eastAsia" w:ascii="仿宋_GB2312" w:hAnsi="仿宋_GB2312" w:eastAsia="仿宋_GB2312" w:cs="仿宋_GB2312"/>
                <w:sz w:val="28"/>
                <w:szCs w:val="28"/>
                <w:highlight w:val="none"/>
              </w:rPr>
              <w:t>领队会（领队及指导教师参加）、裁判会</w:t>
            </w:r>
          </w:p>
        </w:tc>
      </w:tr>
      <w:tr w14:paraId="550BE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1548" w:type="dxa"/>
            <w:vMerge w:val="continue"/>
            <w:vAlign w:val="center"/>
          </w:tcPr>
          <w:p w14:paraId="6A834273">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25D97162">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15:30-16:30</w:t>
            </w:r>
          </w:p>
        </w:tc>
        <w:tc>
          <w:tcPr>
            <w:tcW w:w="5515" w:type="dxa"/>
            <w:vAlign w:val="center"/>
          </w:tcPr>
          <w:p w14:paraId="0FF09B23">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开赛式</w:t>
            </w:r>
          </w:p>
        </w:tc>
      </w:tr>
      <w:tr w14:paraId="0BA806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 w:hRule="atLeast"/>
        </w:trPr>
        <w:tc>
          <w:tcPr>
            <w:tcW w:w="1548" w:type="dxa"/>
            <w:vMerge w:val="continue"/>
            <w:vAlign w:val="center"/>
          </w:tcPr>
          <w:p w14:paraId="7366F030">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6282ADD8">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16:30-17:30</w:t>
            </w:r>
          </w:p>
        </w:tc>
        <w:tc>
          <w:tcPr>
            <w:tcW w:w="5515" w:type="dxa"/>
            <w:vAlign w:val="center"/>
          </w:tcPr>
          <w:p w14:paraId="410E7C50">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参赛选手熟悉场地</w:t>
            </w:r>
          </w:p>
        </w:tc>
      </w:tr>
      <w:tr w14:paraId="6F7F3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48" w:type="dxa"/>
            <w:vMerge w:val="restart"/>
            <w:vAlign w:val="center"/>
          </w:tcPr>
          <w:p w14:paraId="149D0F11">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比赛日</w:t>
            </w:r>
          </w:p>
        </w:tc>
        <w:tc>
          <w:tcPr>
            <w:tcW w:w="1701" w:type="dxa"/>
            <w:vAlign w:val="center"/>
          </w:tcPr>
          <w:p w14:paraId="28561287">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7:00-7:30</w:t>
            </w:r>
          </w:p>
        </w:tc>
        <w:tc>
          <w:tcPr>
            <w:tcW w:w="5515" w:type="dxa"/>
            <w:vAlign w:val="center"/>
          </w:tcPr>
          <w:p w14:paraId="00BA9A9E">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裁判、技术支持及工作人员就位</w:t>
            </w:r>
          </w:p>
        </w:tc>
      </w:tr>
      <w:tr w14:paraId="76415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48" w:type="dxa"/>
            <w:vMerge w:val="continue"/>
            <w:vAlign w:val="center"/>
          </w:tcPr>
          <w:p w14:paraId="71614AA1">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01998C94">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7:30-8:00</w:t>
            </w:r>
          </w:p>
        </w:tc>
        <w:tc>
          <w:tcPr>
            <w:tcW w:w="5515" w:type="dxa"/>
            <w:vAlign w:val="center"/>
          </w:tcPr>
          <w:p w14:paraId="65D3EB41">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参赛队赛场检录、加密</w:t>
            </w:r>
          </w:p>
        </w:tc>
      </w:tr>
      <w:tr w14:paraId="26680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48" w:type="dxa"/>
            <w:vMerge w:val="continue"/>
            <w:vAlign w:val="center"/>
          </w:tcPr>
          <w:p w14:paraId="212A6DAC">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497D2262">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rPr>
              <w:t>8:00-</w:t>
            </w:r>
            <w:r>
              <w:rPr>
                <w:rFonts w:hint="eastAsia" w:ascii="仿宋_GB2312" w:hAnsi="仿宋_GB2312" w:eastAsia="仿宋_GB2312" w:cs="仿宋_GB2312"/>
                <w:sz w:val="28"/>
                <w:szCs w:val="28"/>
                <w:highlight w:val="none"/>
                <w:lang w:val="en-US" w:eastAsia="zh-CN"/>
              </w:rPr>
              <w:t>12</w:t>
            </w:r>
            <w:r>
              <w:rPr>
                <w:rFonts w:hint="eastAsia" w:ascii="仿宋_GB2312" w:hAnsi="仿宋_GB2312" w:eastAsia="仿宋_GB2312" w:cs="仿宋_GB2312"/>
                <w:sz w:val="28"/>
                <w:szCs w:val="28"/>
                <w:highlight w:val="none"/>
              </w:rPr>
              <w:t>:</w:t>
            </w:r>
            <w:r>
              <w:rPr>
                <w:rFonts w:hint="eastAsia" w:ascii="仿宋_GB2312" w:hAnsi="仿宋_GB2312" w:eastAsia="仿宋_GB2312" w:cs="仿宋_GB2312"/>
                <w:sz w:val="28"/>
                <w:szCs w:val="28"/>
                <w:highlight w:val="none"/>
                <w:lang w:val="en-US" w:eastAsia="zh-CN"/>
              </w:rPr>
              <w:t>00</w:t>
            </w:r>
          </w:p>
        </w:tc>
        <w:tc>
          <w:tcPr>
            <w:tcW w:w="5515" w:type="dxa"/>
            <w:vAlign w:val="center"/>
          </w:tcPr>
          <w:p w14:paraId="48F599A1">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lang w:val="en-US" w:eastAsia="zh-CN"/>
              </w:rPr>
              <w:t>各参赛队按照抽签顺序依次比赛（按照报名组数安排批次）</w:t>
            </w:r>
          </w:p>
        </w:tc>
      </w:tr>
      <w:tr w14:paraId="458D8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 w:hRule="atLeast"/>
        </w:trPr>
        <w:tc>
          <w:tcPr>
            <w:tcW w:w="1548" w:type="dxa"/>
            <w:vMerge w:val="continue"/>
            <w:vAlign w:val="center"/>
          </w:tcPr>
          <w:p w14:paraId="00868DFF">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3A621DC2">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2</w:t>
            </w:r>
            <w:r>
              <w:rPr>
                <w:rFonts w:hint="eastAsia" w:ascii="仿宋_GB2312" w:hAnsi="仿宋_GB2312" w:eastAsia="仿宋_GB2312" w:cs="仿宋_GB2312"/>
                <w:sz w:val="28"/>
                <w:szCs w:val="28"/>
                <w:highlight w:val="none"/>
              </w:rPr>
              <w:t>:00-14:00</w:t>
            </w:r>
          </w:p>
        </w:tc>
        <w:tc>
          <w:tcPr>
            <w:tcW w:w="5515" w:type="dxa"/>
            <w:vAlign w:val="center"/>
          </w:tcPr>
          <w:p w14:paraId="5459285E">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全体人员用餐休息</w:t>
            </w:r>
          </w:p>
        </w:tc>
      </w:tr>
      <w:tr w14:paraId="5D0BD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 w:hRule="atLeast"/>
        </w:trPr>
        <w:tc>
          <w:tcPr>
            <w:tcW w:w="1548" w:type="dxa"/>
            <w:vMerge w:val="continue"/>
            <w:vAlign w:val="center"/>
          </w:tcPr>
          <w:p w14:paraId="3BDD057A">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7841F87F">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rPr>
              <w:t>14:00-</w:t>
            </w:r>
            <w:r>
              <w:rPr>
                <w:rFonts w:hint="eastAsia" w:ascii="仿宋_GB2312" w:hAnsi="仿宋_GB2312" w:eastAsia="仿宋_GB2312" w:cs="仿宋_GB2312"/>
                <w:sz w:val="28"/>
                <w:szCs w:val="28"/>
                <w:highlight w:val="none"/>
                <w:lang w:val="en-US" w:eastAsia="zh-CN"/>
              </w:rPr>
              <w:t>17</w:t>
            </w:r>
            <w:r>
              <w:rPr>
                <w:rFonts w:hint="eastAsia" w:ascii="仿宋_GB2312" w:hAnsi="仿宋_GB2312" w:eastAsia="仿宋_GB2312" w:cs="仿宋_GB2312"/>
                <w:sz w:val="28"/>
                <w:szCs w:val="28"/>
                <w:highlight w:val="none"/>
              </w:rPr>
              <w:t>:</w:t>
            </w:r>
            <w:r>
              <w:rPr>
                <w:rFonts w:hint="eastAsia" w:ascii="仿宋_GB2312" w:hAnsi="仿宋_GB2312" w:eastAsia="仿宋_GB2312" w:cs="仿宋_GB2312"/>
                <w:sz w:val="28"/>
                <w:szCs w:val="28"/>
                <w:highlight w:val="none"/>
                <w:lang w:val="en-US" w:eastAsia="zh-CN"/>
              </w:rPr>
              <w:t>00</w:t>
            </w:r>
          </w:p>
        </w:tc>
        <w:tc>
          <w:tcPr>
            <w:tcW w:w="5515" w:type="dxa"/>
            <w:vAlign w:val="center"/>
          </w:tcPr>
          <w:p w14:paraId="48E79EB9">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lang w:val="en-US" w:eastAsia="zh-CN"/>
              </w:rPr>
              <w:t>各参赛队按照抽签顺序依次比赛</w:t>
            </w:r>
          </w:p>
        </w:tc>
      </w:tr>
      <w:tr w14:paraId="0C519B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trPr>
        <w:tc>
          <w:tcPr>
            <w:tcW w:w="1548" w:type="dxa"/>
            <w:vMerge w:val="continue"/>
            <w:vAlign w:val="center"/>
          </w:tcPr>
          <w:p w14:paraId="2707FEC3">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7CA493A7">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7</w:t>
            </w:r>
            <w:r>
              <w:rPr>
                <w:rFonts w:hint="eastAsia" w:ascii="仿宋_GB2312" w:hAnsi="仿宋_GB2312" w:eastAsia="仿宋_GB2312" w:cs="仿宋_GB2312"/>
                <w:sz w:val="28"/>
                <w:szCs w:val="28"/>
                <w:highlight w:val="none"/>
              </w:rPr>
              <w:t>:</w:t>
            </w:r>
            <w:r>
              <w:rPr>
                <w:rFonts w:hint="eastAsia" w:ascii="仿宋_GB2312" w:hAnsi="仿宋_GB2312" w:eastAsia="仿宋_GB2312" w:cs="仿宋_GB2312"/>
                <w:sz w:val="28"/>
                <w:szCs w:val="28"/>
                <w:highlight w:val="none"/>
                <w:lang w:val="en-US" w:eastAsia="zh-CN"/>
              </w:rPr>
              <w:t>00</w:t>
            </w: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7</w:t>
            </w:r>
            <w:r>
              <w:rPr>
                <w:rFonts w:hint="eastAsia" w:ascii="仿宋_GB2312" w:hAnsi="仿宋_GB2312" w:eastAsia="仿宋_GB2312" w:cs="仿宋_GB2312"/>
                <w:sz w:val="28"/>
                <w:szCs w:val="28"/>
                <w:highlight w:val="none"/>
              </w:rPr>
              <w:t>:</w:t>
            </w:r>
            <w:r>
              <w:rPr>
                <w:rFonts w:hint="eastAsia" w:ascii="仿宋_GB2312" w:hAnsi="仿宋_GB2312" w:eastAsia="仿宋_GB2312" w:cs="仿宋_GB2312"/>
                <w:sz w:val="28"/>
                <w:szCs w:val="28"/>
                <w:highlight w:val="none"/>
                <w:lang w:val="en-US" w:eastAsia="zh-CN"/>
              </w:rPr>
              <w:t>3</w:t>
            </w:r>
            <w:r>
              <w:rPr>
                <w:rFonts w:hint="eastAsia" w:ascii="仿宋_GB2312" w:hAnsi="仿宋_GB2312" w:eastAsia="仿宋_GB2312" w:cs="仿宋_GB2312"/>
                <w:sz w:val="28"/>
                <w:szCs w:val="28"/>
                <w:highlight w:val="none"/>
              </w:rPr>
              <w:t>0</w:t>
            </w:r>
          </w:p>
        </w:tc>
        <w:tc>
          <w:tcPr>
            <w:tcW w:w="5515" w:type="dxa"/>
            <w:vAlign w:val="center"/>
          </w:tcPr>
          <w:p w14:paraId="04A2F150">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成绩评定</w:t>
            </w:r>
          </w:p>
        </w:tc>
      </w:tr>
      <w:tr w14:paraId="2C92E4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trPr>
        <w:tc>
          <w:tcPr>
            <w:tcW w:w="1548" w:type="dxa"/>
            <w:vMerge w:val="continue"/>
            <w:vAlign w:val="center"/>
          </w:tcPr>
          <w:p w14:paraId="71E94201">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594792E0">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17:</w:t>
            </w:r>
            <w:r>
              <w:rPr>
                <w:rFonts w:hint="eastAsia" w:ascii="仿宋_GB2312" w:hAnsi="仿宋_GB2312" w:eastAsia="仿宋_GB2312" w:cs="仿宋_GB2312"/>
                <w:sz w:val="28"/>
                <w:szCs w:val="28"/>
                <w:highlight w:val="none"/>
                <w:lang w:val="en-US" w:eastAsia="zh-CN"/>
              </w:rPr>
              <w:t>3</w:t>
            </w:r>
            <w:r>
              <w:rPr>
                <w:rFonts w:hint="eastAsia" w:ascii="仿宋_GB2312" w:hAnsi="仿宋_GB2312" w:eastAsia="仿宋_GB2312" w:cs="仿宋_GB2312"/>
                <w:sz w:val="28"/>
                <w:szCs w:val="28"/>
                <w:highlight w:val="none"/>
              </w:rPr>
              <w:t>0-18:00</w:t>
            </w:r>
          </w:p>
        </w:tc>
        <w:tc>
          <w:tcPr>
            <w:tcW w:w="5515" w:type="dxa"/>
            <w:vAlign w:val="center"/>
          </w:tcPr>
          <w:p w14:paraId="3DD566AF">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成绩抽检审核、解密</w:t>
            </w:r>
          </w:p>
        </w:tc>
      </w:tr>
      <w:tr w14:paraId="6A01C9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48" w:type="dxa"/>
            <w:vMerge w:val="continue"/>
            <w:vAlign w:val="center"/>
          </w:tcPr>
          <w:p w14:paraId="628FC4E2">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p>
        </w:tc>
        <w:tc>
          <w:tcPr>
            <w:tcW w:w="1701" w:type="dxa"/>
            <w:vAlign w:val="center"/>
          </w:tcPr>
          <w:p w14:paraId="25B18861">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18:00-20:00</w:t>
            </w:r>
          </w:p>
        </w:tc>
        <w:tc>
          <w:tcPr>
            <w:tcW w:w="5515" w:type="dxa"/>
            <w:vAlign w:val="center"/>
          </w:tcPr>
          <w:p w14:paraId="1860EA5D">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成绩公示</w:t>
            </w:r>
          </w:p>
        </w:tc>
      </w:tr>
      <w:tr w14:paraId="2873A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48" w:type="dxa"/>
            <w:vAlign w:val="center"/>
          </w:tcPr>
          <w:p w14:paraId="292473D5">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比赛后一日</w:t>
            </w:r>
          </w:p>
        </w:tc>
        <w:tc>
          <w:tcPr>
            <w:tcW w:w="1701" w:type="dxa"/>
            <w:vAlign w:val="center"/>
          </w:tcPr>
          <w:p w14:paraId="3B305124">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9:00-11:00</w:t>
            </w:r>
          </w:p>
        </w:tc>
        <w:tc>
          <w:tcPr>
            <w:tcW w:w="5515" w:type="dxa"/>
            <w:vAlign w:val="center"/>
          </w:tcPr>
          <w:p w14:paraId="25B00F79">
            <w:pPr>
              <w:pageBreakBefore w:val="0"/>
              <w:widowControl w:val="0"/>
              <w:kinsoku/>
              <w:wordWrap/>
              <w:overflowPunct/>
              <w:topLinePunct w:val="0"/>
              <w:bidi w:val="0"/>
              <w:adjustRightInd/>
              <w:spacing w:line="560" w:lineRule="exact"/>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闭赛式（赛项点评、颁奖）</w:t>
            </w:r>
          </w:p>
        </w:tc>
      </w:tr>
    </w:tbl>
    <w:p w14:paraId="7AA9B55E">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lang w:val="en-US" w:eastAsia="zh-CN"/>
        </w:rPr>
      </w:pPr>
      <w:r>
        <w:rPr>
          <w:rFonts w:hint="eastAsia" w:ascii="仿宋_GB2312" w:hAnsi="仿宋_GB2312" w:eastAsia="仿宋_GB2312" w:cs="仿宋_GB2312"/>
          <w:b/>
          <w:bCs/>
          <w:kern w:val="0"/>
          <w:sz w:val="28"/>
          <w:szCs w:val="28"/>
          <w:highlight w:val="none"/>
          <w:lang w:val="en-US" w:eastAsia="zh-CN"/>
        </w:rPr>
        <w:t>注：实际竞赛日程可根据比赛的组织需要进行适当微调。</w:t>
      </w:r>
    </w:p>
    <w:p w14:paraId="36A08580">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（三）竞赛流程图</w:t>
      </w:r>
    </w:p>
    <w:p w14:paraId="4B426E1C">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竞赛流程如图1所示。</w:t>
      </w:r>
    </w:p>
    <w:p w14:paraId="03F00599">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p>
    <w:p w14:paraId="769AE834">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p>
    <w:p w14:paraId="4C4B95B0">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drawing>
          <wp:anchor distT="0" distB="0" distL="114300" distR="114300" simplePos="0" relativeHeight="251660288" behindDoc="0" locked="0" layoutInCell="1" allowOverlap="1">
            <wp:simplePos x="0" y="0"/>
            <wp:positionH relativeFrom="column">
              <wp:posOffset>927735</wp:posOffset>
            </wp:positionH>
            <wp:positionV relativeFrom="paragraph">
              <wp:posOffset>144145</wp:posOffset>
            </wp:positionV>
            <wp:extent cx="3588385" cy="3693795"/>
            <wp:effectExtent l="0" t="0" r="5715" b="1905"/>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3588385" cy="3693795"/>
                    </a:xfrm>
                    <a:prstGeom prst="rect">
                      <a:avLst/>
                    </a:prstGeom>
                    <a:noFill/>
                    <a:ln>
                      <a:noFill/>
                    </a:ln>
                  </pic:spPr>
                </pic:pic>
              </a:graphicData>
            </a:graphic>
          </wp:anchor>
        </w:drawing>
      </w:r>
    </w:p>
    <w:p w14:paraId="0C3B32FB">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p>
    <w:p w14:paraId="2ADA2594">
      <w:pPr>
        <w:pageBreakBefore w:val="0"/>
        <w:widowControl w:val="0"/>
        <w:kinsoku/>
        <w:wordWrap/>
        <w:overflowPunct/>
        <w:topLinePunct w:val="0"/>
        <w:bidi w:val="0"/>
        <w:adjustRightInd/>
        <w:spacing w:before="156" w:beforeLines="50" w:after="156" w:afterLines="50" w:line="560" w:lineRule="exact"/>
        <w:ind w:firstLine="560" w:firstLineChars="200"/>
        <w:jc w:val="center"/>
        <w:textAlignment w:val="auto"/>
        <w:rPr>
          <w:rFonts w:hint="eastAsia" w:ascii="仿宋_GB2312" w:hAnsi="仿宋_GB2312" w:eastAsia="仿宋_GB2312" w:cs="仿宋_GB2312"/>
          <w:sz w:val="28"/>
          <w:szCs w:val="28"/>
          <w:highlight w:val="none"/>
        </w:rPr>
      </w:pPr>
    </w:p>
    <w:p w14:paraId="0EA35E0F">
      <w:pPr>
        <w:pageBreakBefore w:val="0"/>
        <w:widowControl w:val="0"/>
        <w:kinsoku/>
        <w:wordWrap/>
        <w:overflowPunct/>
        <w:topLinePunct w:val="0"/>
        <w:bidi w:val="0"/>
        <w:adjustRightInd/>
        <w:spacing w:line="560" w:lineRule="exact"/>
        <w:ind w:firstLine="560" w:firstLineChars="200"/>
        <w:jc w:val="center"/>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图1 竞赛流程图</w:t>
      </w:r>
    </w:p>
    <w:p w14:paraId="6A3C9203">
      <w:pPr>
        <w:pageBreakBefore w:val="0"/>
        <w:widowControl w:val="0"/>
        <w:numPr>
          <w:ilvl w:val="0"/>
          <w:numId w:val="1"/>
        </w:numPr>
        <w:kinsoku/>
        <w:wordWrap/>
        <w:overflowPunct/>
        <w:topLinePunct w:val="0"/>
        <w:bidi w:val="0"/>
        <w:adjustRightInd/>
        <w:snapToGrid w:val="0"/>
        <w:spacing w:line="560" w:lineRule="exact"/>
        <w:ind w:firstLine="534" w:firstLineChars="200"/>
        <w:textAlignment w:val="auto"/>
        <w:rPr>
          <w:rFonts w:hint="eastAsia" w:ascii="仿宋_GB2312" w:hAnsi="仿宋_GB2312" w:eastAsia="仿宋_GB2312" w:cs="仿宋_GB2312"/>
          <w:b/>
          <w:bCs/>
          <w:spacing w:val="-7"/>
          <w:sz w:val="28"/>
          <w:szCs w:val="28"/>
          <w:highlight w:val="none"/>
          <w:lang w:val="en-US" w:eastAsia="zh-CN"/>
        </w:rPr>
      </w:pPr>
      <w:r>
        <w:rPr>
          <w:rFonts w:hint="eastAsia" w:ascii="仿宋_GB2312" w:hAnsi="仿宋_GB2312" w:eastAsia="仿宋_GB2312" w:cs="仿宋_GB2312"/>
          <w:b/>
          <w:bCs/>
          <w:spacing w:val="-7"/>
          <w:sz w:val="28"/>
          <w:szCs w:val="28"/>
          <w:highlight w:val="none"/>
        </w:rPr>
        <w:t>竞赛环境</w:t>
      </w:r>
      <w:r>
        <w:rPr>
          <w:rFonts w:hint="eastAsia" w:ascii="仿宋_GB2312" w:hAnsi="仿宋_GB2312" w:eastAsia="仿宋_GB2312" w:cs="仿宋_GB2312"/>
          <w:b/>
          <w:bCs/>
          <w:spacing w:val="-7"/>
          <w:sz w:val="28"/>
          <w:szCs w:val="28"/>
          <w:highlight w:val="none"/>
          <w:lang w:val="en-US" w:eastAsia="zh-CN"/>
        </w:rPr>
        <w:t>及设备</w:t>
      </w:r>
    </w:p>
    <w:p w14:paraId="50E6F2AA">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spacing w:val="-7"/>
          <w:sz w:val="28"/>
          <w:szCs w:val="28"/>
          <w:highlight w:val="none"/>
          <w:lang w:val="en-US" w:eastAsia="zh-CN"/>
        </w:rPr>
      </w:pPr>
      <w:r>
        <w:rPr>
          <w:rFonts w:hint="eastAsia" w:ascii="仿宋_GB2312" w:hAnsi="仿宋_GB2312" w:eastAsia="仿宋_GB2312" w:cs="仿宋_GB2312"/>
          <w:b/>
          <w:bCs/>
          <w:kern w:val="0"/>
          <w:sz w:val="28"/>
          <w:szCs w:val="28"/>
          <w:highlight w:val="none"/>
        </w:rPr>
        <w:drawing>
          <wp:anchor distT="0" distB="0" distL="0" distR="0" simplePos="0" relativeHeight="251659264" behindDoc="0" locked="0" layoutInCell="1" allowOverlap="1">
            <wp:simplePos x="0" y="0"/>
            <wp:positionH relativeFrom="column">
              <wp:posOffset>147955</wp:posOffset>
            </wp:positionH>
            <wp:positionV relativeFrom="paragraph">
              <wp:posOffset>636270</wp:posOffset>
            </wp:positionV>
            <wp:extent cx="4717415" cy="2773680"/>
            <wp:effectExtent l="0" t="0" r="6985" b="762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6">
                      <a:extLst>
                        <a:ext uri="{BEBA8EAE-BF5A-486C-A8C5-ECC9F3942E4B}">
                          <a14:imgProps xmlns:a14="http://schemas.microsoft.com/office/drawing/2010/main">
                            <a14:imgLayer r:embed="rId7">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a:xfrm>
                      <a:off x="0" y="0"/>
                      <a:ext cx="4717415" cy="2773680"/>
                    </a:xfrm>
                    <a:prstGeom prst="rect">
                      <a:avLst/>
                    </a:prstGeom>
                    <a:noFill/>
                  </pic:spPr>
                </pic:pic>
              </a:graphicData>
            </a:graphic>
          </wp:anchor>
        </w:drawing>
      </w:r>
      <w:r>
        <w:rPr>
          <w:rFonts w:hint="eastAsia" w:ascii="仿宋_GB2312" w:hAnsi="仿宋_GB2312" w:eastAsia="仿宋_GB2312" w:cs="仿宋_GB2312"/>
          <w:b/>
          <w:bCs/>
          <w:kern w:val="0"/>
          <w:sz w:val="28"/>
          <w:szCs w:val="28"/>
          <w:highlight w:val="none"/>
        </w:rPr>
        <w:t>（一）竞赛</w:t>
      </w:r>
      <w:r>
        <w:rPr>
          <w:rFonts w:hint="eastAsia" w:ascii="仿宋_GB2312" w:hAnsi="仿宋_GB2312" w:eastAsia="仿宋_GB2312" w:cs="仿宋_GB2312"/>
          <w:b/>
          <w:bCs/>
          <w:kern w:val="0"/>
          <w:sz w:val="28"/>
          <w:szCs w:val="28"/>
          <w:highlight w:val="none"/>
          <w:lang w:val="en-US" w:eastAsia="zh-CN"/>
        </w:rPr>
        <w:t>环境</w:t>
      </w:r>
    </w:p>
    <w:p w14:paraId="6B237AB3">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b/>
          <w:bCs/>
          <w:kern w:val="0"/>
          <w:sz w:val="28"/>
          <w:szCs w:val="28"/>
          <w:highlight w:val="none"/>
        </w:rPr>
      </w:pPr>
    </w:p>
    <w:p w14:paraId="0123EAAF">
      <w:pPr>
        <w:pageBreakBefore w:val="0"/>
        <w:widowControl w:val="0"/>
        <w:kinsoku/>
        <w:wordWrap/>
        <w:overflowPunct/>
        <w:topLinePunct w:val="0"/>
        <w:bidi w:val="0"/>
        <w:adjustRightInd/>
        <w:snapToGrid w:val="0"/>
        <w:spacing w:line="560" w:lineRule="exact"/>
        <w:jc w:val="center"/>
        <w:textAlignment w:val="auto"/>
        <w:rPr>
          <w:rFonts w:hint="eastAsia" w:ascii="仿宋_GB2312" w:hAnsi="仿宋_GB2312" w:eastAsia="仿宋_GB2312" w:cs="仿宋_GB2312"/>
          <w:kern w:val="0"/>
          <w:sz w:val="28"/>
          <w:szCs w:val="28"/>
          <w:highlight w:val="none"/>
          <w:lang w:val="en-US" w:eastAsia="zh-CN"/>
        </w:rPr>
      </w:pPr>
      <w:r>
        <w:rPr>
          <w:rFonts w:hint="eastAsia" w:ascii="仿宋_GB2312" w:hAnsi="仿宋_GB2312" w:eastAsia="仿宋_GB2312" w:cs="仿宋_GB2312"/>
          <w:kern w:val="0"/>
          <w:sz w:val="28"/>
          <w:szCs w:val="28"/>
          <w:highlight w:val="none"/>
          <w:lang w:val="en-US" w:eastAsia="zh-CN"/>
        </w:rPr>
        <w:t>图2 竞赛场地布局示意图</w:t>
      </w:r>
    </w:p>
    <w:p w14:paraId="7C035B08">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spacing w:val="-7"/>
          <w:sz w:val="28"/>
          <w:szCs w:val="28"/>
          <w:highlight w:val="none"/>
          <w:lang w:val="en-US" w:eastAsia="zh-CN"/>
        </w:rPr>
      </w:pPr>
      <w:r>
        <w:rPr>
          <w:rFonts w:hint="eastAsia" w:ascii="仿宋_GB2312" w:hAnsi="仿宋_GB2312" w:eastAsia="仿宋_GB2312" w:cs="仿宋_GB2312"/>
          <w:b/>
          <w:bCs/>
          <w:kern w:val="0"/>
          <w:sz w:val="28"/>
          <w:szCs w:val="28"/>
          <w:highlight w:val="none"/>
        </w:rPr>
        <w:t>（</w:t>
      </w:r>
      <w:r>
        <w:rPr>
          <w:rFonts w:hint="eastAsia" w:ascii="仿宋_GB2312" w:hAnsi="仿宋_GB2312" w:eastAsia="仿宋_GB2312" w:cs="仿宋_GB2312"/>
          <w:b/>
          <w:bCs/>
          <w:kern w:val="0"/>
          <w:sz w:val="28"/>
          <w:szCs w:val="28"/>
          <w:highlight w:val="none"/>
          <w:lang w:val="en-US" w:eastAsia="zh-CN"/>
        </w:rPr>
        <w:t>二</w:t>
      </w:r>
      <w:r>
        <w:rPr>
          <w:rFonts w:hint="eastAsia" w:ascii="仿宋_GB2312" w:hAnsi="仿宋_GB2312" w:eastAsia="仿宋_GB2312" w:cs="仿宋_GB2312"/>
          <w:b/>
          <w:bCs/>
          <w:kern w:val="0"/>
          <w:sz w:val="28"/>
          <w:szCs w:val="28"/>
          <w:highlight w:val="none"/>
        </w:rPr>
        <w:t>）竞赛</w:t>
      </w:r>
      <w:r>
        <w:rPr>
          <w:rFonts w:hint="eastAsia" w:ascii="仿宋_GB2312" w:hAnsi="仿宋_GB2312" w:eastAsia="仿宋_GB2312" w:cs="仿宋_GB2312"/>
          <w:b/>
          <w:bCs/>
          <w:kern w:val="0"/>
          <w:sz w:val="28"/>
          <w:szCs w:val="28"/>
          <w:highlight w:val="none"/>
          <w:lang w:val="en-US" w:eastAsia="zh-CN"/>
        </w:rPr>
        <w:t>设备及场地说明</w:t>
      </w:r>
    </w:p>
    <w:p w14:paraId="277A91D2">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p>
    <w:tbl>
      <w:tblPr>
        <w:tblStyle w:val="31"/>
        <w:tblW w:w="9341" w:type="dxa"/>
        <w:tblInd w:w="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70"/>
        <w:gridCol w:w="800"/>
        <w:gridCol w:w="960"/>
        <w:gridCol w:w="2900"/>
        <w:gridCol w:w="720"/>
        <w:gridCol w:w="1574"/>
        <w:gridCol w:w="390"/>
        <w:gridCol w:w="1427"/>
      </w:tblGrid>
      <w:tr w14:paraId="7C9FB0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570" w:type="dxa"/>
            <w:noWrap w:val="0"/>
            <w:textDirection w:val="tbRlV"/>
            <w:vAlign w:val="top"/>
          </w:tcPr>
          <w:p w14:paraId="5BCE52ED">
            <w:pPr>
              <w:pStyle w:val="33"/>
              <w:pageBreakBefore w:val="0"/>
              <w:widowControl w:val="0"/>
              <w:kinsoku/>
              <w:wordWrap/>
              <w:overflowPunct/>
              <w:topLinePunct w:val="0"/>
              <w:bidi w:val="0"/>
              <w:adjustRightInd/>
              <w:spacing w:before="132" w:line="560" w:lineRule="exact"/>
              <w:jc w:val="both"/>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组别</w:t>
            </w:r>
          </w:p>
          <w:p w14:paraId="0C66DDD1">
            <w:pPr>
              <w:pStyle w:val="33"/>
              <w:pageBreakBefore w:val="0"/>
              <w:widowControl w:val="0"/>
              <w:kinsoku/>
              <w:wordWrap/>
              <w:overflowPunct/>
              <w:topLinePunct w:val="0"/>
              <w:bidi w:val="0"/>
              <w:adjustRightInd/>
              <w:spacing w:before="132" w:line="560" w:lineRule="exact"/>
              <w:jc w:val="center"/>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组别</w:t>
            </w:r>
          </w:p>
        </w:tc>
        <w:tc>
          <w:tcPr>
            <w:tcW w:w="800" w:type="dxa"/>
            <w:noWrap w:val="0"/>
            <w:vAlign w:val="top"/>
          </w:tcPr>
          <w:p w14:paraId="621ECBAA">
            <w:pPr>
              <w:pStyle w:val="33"/>
              <w:pageBreakBefore w:val="0"/>
              <w:widowControl w:val="0"/>
              <w:kinsoku/>
              <w:wordWrap/>
              <w:overflowPunct/>
              <w:topLinePunct w:val="0"/>
              <w:bidi w:val="0"/>
              <w:adjustRightInd/>
              <w:spacing w:before="101" w:line="560" w:lineRule="exact"/>
              <w:jc w:val="center"/>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中职</w:t>
            </w:r>
          </w:p>
        </w:tc>
        <w:tc>
          <w:tcPr>
            <w:tcW w:w="960" w:type="dxa"/>
            <w:noWrap w:val="0"/>
            <w:vAlign w:val="top"/>
          </w:tcPr>
          <w:p w14:paraId="0550C35D">
            <w:pPr>
              <w:pStyle w:val="33"/>
              <w:pageBreakBefore w:val="0"/>
              <w:widowControl w:val="0"/>
              <w:kinsoku/>
              <w:wordWrap/>
              <w:overflowPunct/>
              <w:topLinePunct w:val="0"/>
              <w:bidi w:val="0"/>
              <w:adjustRightInd/>
              <w:spacing w:before="101" w:line="560" w:lineRule="exact"/>
              <w:ind w:left="112"/>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赛道</w:t>
            </w:r>
          </w:p>
        </w:tc>
        <w:tc>
          <w:tcPr>
            <w:tcW w:w="2900" w:type="dxa"/>
            <w:noWrap w:val="0"/>
            <w:vAlign w:val="top"/>
          </w:tcPr>
          <w:p w14:paraId="38BA322A">
            <w:pPr>
              <w:pStyle w:val="33"/>
              <w:pageBreakBefore w:val="0"/>
              <w:widowControl w:val="0"/>
              <w:kinsoku/>
              <w:wordWrap/>
              <w:overflowPunct/>
              <w:topLinePunct w:val="0"/>
              <w:bidi w:val="0"/>
              <w:adjustRightInd/>
              <w:spacing w:before="101" w:line="560" w:lineRule="exact"/>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交通运输赛道</w:t>
            </w:r>
          </w:p>
        </w:tc>
        <w:tc>
          <w:tcPr>
            <w:tcW w:w="720" w:type="dxa"/>
            <w:noWrap w:val="0"/>
            <w:vAlign w:val="top"/>
          </w:tcPr>
          <w:p w14:paraId="19F3C5DB">
            <w:pPr>
              <w:pStyle w:val="33"/>
              <w:pageBreakBefore w:val="0"/>
              <w:widowControl w:val="0"/>
              <w:kinsoku/>
              <w:wordWrap/>
              <w:overflowPunct/>
              <w:topLinePunct w:val="0"/>
              <w:bidi w:val="0"/>
              <w:adjustRightInd/>
              <w:spacing w:before="102" w:line="560" w:lineRule="exact"/>
              <w:jc w:val="both"/>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小组</w:t>
            </w:r>
          </w:p>
        </w:tc>
        <w:tc>
          <w:tcPr>
            <w:tcW w:w="3391" w:type="dxa"/>
            <w:gridSpan w:val="3"/>
            <w:noWrap w:val="0"/>
            <w:vAlign w:val="top"/>
          </w:tcPr>
          <w:p w14:paraId="14835FE0">
            <w:pPr>
              <w:pStyle w:val="33"/>
              <w:pageBreakBefore w:val="0"/>
              <w:widowControl w:val="0"/>
              <w:kinsoku/>
              <w:wordWrap/>
              <w:overflowPunct/>
              <w:topLinePunct w:val="0"/>
              <w:bidi w:val="0"/>
              <w:adjustRightInd/>
              <w:spacing w:before="21" w:line="560" w:lineRule="exact"/>
              <w:ind w:left="618" w:right="69" w:hanging="550"/>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城市轨道交通运营与维</w:t>
            </w:r>
            <w:r>
              <w:rPr>
                <w:rFonts w:hint="eastAsia" w:ascii="仿宋_GB2312" w:hAnsi="仿宋_GB2312" w:eastAsia="仿宋_GB2312" w:cs="仿宋_GB2312"/>
                <w:sz w:val="28"/>
                <w:szCs w:val="28"/>
              </w:rPr>
              <w:t>护</w:t>
            </w:r>
          </w:p>
        </w:tc>
      </w:tr>
      <w:tr w14:paraId="7EA070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9" w:hRule="atLeast"/>
        </w:trPr>
        <w:tc>
          <w:tcPr>
            <w:tcW w:w="570" w:type="dxa"/>
            <w:noWrap w:val="0"/>
            <w:textDirection w:val="tbRlV"/>
            <w:vAlign w:val="top"/>
          </w:tcPr>
          <w:p w14:paraId="145C0B8A">
            <w:pPr>
              <w:pStyle w:val="33"/>
              <w:pageBreakBefore w:val="0"/>
              <w:widowControl w:val="0"/>
              <w:kinsoku/>
              <w:wordWrap/>
              <w:overflowPunct/>
              <w:topLinePunct w:val="0"/>
              <w:bidi w:val="0"/>
              <w:adjustRightInd/>
              <w:spacing w:before="124" w:line="560" w:lineRule="exact"/>
              <w:ind w:left="34"/>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类</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z w:val="28"/>
                <w:szCs w:val="28"/>
              </w:rPr>
              <w:t>别</w:t>
            </w:r>
          </w:p>
        </w:tc>
        <w:tc>
          <w:tcPr>
            <w:tcW w:w="800" w:type="dxa"/>
            <w:noWrap w:val="0"/>
            <w:vAlign w:val="top"/>
          </w:tcPr>
          <w:p w14:paraId="7C2388AC">
            <w:pPr>
              <w:pStyle w:val="33"/>
              <w:pageBreakBefore w:val="0"/>
              <w:widowControl w:val="0"/>
              <w:kinsoku/>
              <w:wordWrap/>
              <w:overflowPunct/>
              <w:topLinePunct w:val="0"/>
              <w:bidi w:val="0"/>
              <w:adjustRightInd/>
              <w:spacing w:before="137" w:line="560" w:lineRule="exact"/>
              <w:ind w:left="141"/>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名称</w:t>
            </w:r>
          </w:p>
        </w:tc>
        <w:tc>
          <w:tcPr>
            <w:tcW w:w="960" w:type="dxa"/>
            <w:noWrap w:val="0"/>
            <w:vAlign w:val="top"/>
          </w:tcPr>
          <w:p w14:paraId="0C96AB63">
            <w:pPr>
              <w:pStyle w:val="33"/>
              <w:pageBreakBefore w:val="0"/>
              <w:widowControl w:val="0"/>
              <w:kinsoku/>
              <w:wordWrap/>
              <w:overflowPunct/>
              <w:topLinePunct w:val="0"/>
              <w:bidi w:val="0"/>
              <w:adjustRightInd/>
              <w:spacing w:before="136" w:line="560" w:lineRule="exact"/>
              <w:ind w:left="112"/>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型号</w:t>
            </w:r>
          </w:p>
        </w:tc>
        <w:tc>
          <w:tcPr>
            <w:tcW w:w="5194" w:type="dxa"/>
            <w:gridSpan w:val="3"/>
            <w:noWrap w:val="0"/>
            <w:vAlign w:val="top"/>
          </w:tcPr>
          <w:p w14:paraId="0A9786E3">
            <w:pPr>
              <w:pStyle w:val="33"/>
              <w:pageBreakBefore w:val="0"/>
              <w:widowControl w:val="0"/>
              <w:kinsoku/>
              <w:wordWrap/>
              <w:overflowPunct/>
              <w:topLinePunct w:val="0"/>
              <w:bidi w:val="0"/>
              <w:adjustRightInd/>
              <w:spacing w:before="135" w:line="560" w:lineRule="exact"/>
              <w:ind w:left="1483"/>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主要技术参数</w:t>
            </w:r>
          </w:p>
        </w:tc>
        <w:tc>
          <w:tcPr>
            <w:tcW w:w="390" w:type="dxa"/>
            <w:noWrap w:val="0"/>
            <w:textDirection w:val="tbRlV"/>
            <w:vAlign w:val="top"/>
          </w:tcPr>
          <w:p w14:paraId="530CEACB">
            <w:pPr>
              <w:pStyle w:val="33"/>
              <w:keepNext w:val="0"/>
              <w:keepLines w:val="0"/>
              <w:pageBreakBefore w:val="0"/>
              <w:widowControl w:val="0"/>
              <w:kinsoku/>
              <w:wordWrap/>
              <w:overflowPunct/>
              <w:topLinePunct w:val="0"/>
              <w:autoSpaceDE/>
              <w:autoSpaceDN/>
              <w:bidi w:val="0"/>
              <w:adjustRightInd/>
              <w:snapToGrid/>
              <w:spacing w:line="560" w:lineRule="exact"/>
              <w:ind w:left="0" w:leftChars="0"/>
              <w:jc w:val="distribute"/>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台套数</w:t>
            </w:r>
          </w:p>
        </w:tc>
        <w:tc>
          <w:tcPr>
            <w:tcW w:w="1427" w:type="dxa"/>
            <w:noWrap w:val="0"/>
            <w:textDirection w:val="tbRlV"/>
            <w:vAlign w:val="top"/>
          </w:tcPr>
          <w:p w14:paraId="01B13EB1">
            <w:pPr>
              <w:pStyle w:val="33"/>
              <w:pageBreakBefore w:val="0"/>
              <w:widowControl w:val="0"/>
              <w:kinsoku/>
              <w:wordWrap/>
              <w:overflowPunct/>
              <w:topLinePunct w:val="0"/>
              <w:bidi w:val="0"/>
              <w:adjustRightInd/>
              <w:spacing w:before="70" w:line="560" w:lineRule="exact"/>
              <w:ind w:left="64"/>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备注</w:t>
            </w:r>
          </w:p>
        </w:tc>
      </w:tr>
      <w:tr w14:paraId="186EB9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16" w:hRule="atLeast"/>
        </w:trPr>
        <w:tc>
          <w:tcPr>
            <w:tcW w:w="570" w:type="dxa"/>
            <w:noWrap w:val="0"/>
            <w:textDirection w:val="tbRlV"/>
            <w:vAlign w:val="top"/>
          </w:tcPr>
          <w:p w14:paraId="794D878B">
            <w:pPr>
              <w:pStyle w:val="33"/>
              <w:pageBreakBefore w:val="0"/>
              <w:widowControl w:val="0"/>
              <w:kinsoku/>
              <w:wordWrap/>
              <w:overflowPunct/>
              <w:topLinePunct w:val="0"/>
              <w:bidi w:val="0"/>
              <w:adjustRightInd/>
              <w:spacing w:before="123" w:line="560" w:lineRule="exact"/>
              <w:ind w:left="762"/>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硬</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z w:val="28"/>
                <w:szCs w:val="28"/>
              </w:rPr>
              <w:t>件</w:t>
            </w:r>
          </w:p>
        </w:tc>
        <w:tc>
          <w:tcPr>
            <w:tcW w:w="800" w:type="dxa"/>
            <w:noWrap w:val="0"/>
            <w:vAlign w:val="top"/>
          </w:tcPr>
          <w:p w14:paraId="1F91F6A9">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38371F34">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1A5EC7FE">
            <w:pPr>
              <w:pStyle w:val="33"/>
              <w:pageBreakBefore w:val="0"/>
              <w:widowControl w:val="0"/>
              <w:kinsoku/>
              <w:wordWrap/>
              <w:overflowPunct/>
              <w:topLinePunct w:val="0"/>
              <w:bidi w:val="0"/>
              <w:adjustRightInd/>
              <w:spacing w:before="39" w:line="560" w:lineRule="exact"/>
              <w:ind w:left="81"/>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城市轨</w:t>
            </w:r>
          </w:p>
          <w:p w14:paraId="0BC73792">
            <w:pPr>
              <w:pStyle w:val="33"/>
              <w:pageBreakBefore w:val="0"/>
              <w:widowControl w:val="0"/>
              <w:kinsoku/>
              <w:wordWrap/>
              <w:overflowPunct/>
              <w:topLinePunct w:val="0"/>
              <w:bidi w:val="0"/>
              <w:adjustRightInd/>
              <w:spacing w:line="560" w:lineRule="exact"/>
              <w:ind w:left="81"/>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道交通</w:t>
            </w:r>
          </w:p>
          <w:p w14:paraId="01F374E6">
            <w:pPr>
              <w:pStyle w:val="33"/>
              <w:pageBreakBefore w:val="0"/>
              <w:widowControl w:val="0"/>
              <w:kinsoku/>
              <w:wordWrap/>
              <w:overflowPunct/>
              <w:topLinePunct w:val="0"/>
              <w:bidi w:val="0"/>
              <w:adjustRightInd/>
              <w:spacing w:before="45" w:line="560" w:lineRule="exact"/>
              <w:ind w:left="81"/>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信号系</w:t>
            </w:r>
          </w:p>
          <w:p w14:paraId="5209CA9D">
            <w:pPr>
              <w:pStyle w:val="33"/>
              <w:pageBreakBefore w:val="0"/>
              <w:widowControl w:val="0"/>
              <w:kinsoku/>
              <w:wordWrap/>
              <w:overflowPunct/>
              <w:topLinePunct w:val="0"/>
              <w:bidi w:val="0"/>
              <w:adjustRightInd/>
              <w:spacing w:before="17" w:line="560" w:lineRule="exact"/>
              <w:ind w:left="81"/>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统实物</w:t>
            </w:r>
          </w:p>
          <w:p w14:paraId="5923572D">
            <w:pPr>
              <w:pStyle w:val="33"/>
              <w:pageBreakBefore w:val="0"/>
              <w:widowControl w:val="0"/>
              <w:kinsoku/>
              <w:wordWrap/>
              <w:overflowPunct/>
              <w:topLinePunct w:val="0"/>
              <w:bidi w:val="0"/>
              <w:adjustRightInd/>
              <w:spacing w:before="8" w:line="560" w:lineRule="exact"/>
              <w:ind w:left="141"/>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平台</w:t>
            </w:r>
          </w:p>
        </w:tc>
        <w:tc>
          <w:tcPr>
            <w:tcW w:w="960" w:type="dxa"/>
            <w:noWrap w:val="0"/>
            <w:vAlign w:val="top"/>
          </w:tcPr>
          <w:p w14:paraId="710BB960">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327C9204">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1128F2A3">
            <w:pPr>
              <w:pStyle w:val="33"/>
              <w:pageBreakBefore w:val="0"/>
              <w:widowControl w:val="0"/>
              <w:kinsoku/>
              <w:wordWrap/>
              <w:overflowPunct/>
              <w:topLinePunct w:val="0"/>
              <w:bidi w:val="0"/>
              <w:adjustRightInd/>
              <w:spacing w:before="39" w:line="560" w:lineRule="exact"/>
              <w:ind w:left="112" w:right="128"/>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YDT</w:t>
            </w:r>
            <w:r>
              <w:rPr>
                <w:rFonts w:hint="eastAsia" w:ascii="仿宋_GB2312" w:hAnsi="仿宋_GB2312" w:eastAsia="仿宋_GB2312" w:cs="仿宋_GB2312"/>
                <w:spacing w:val="-1"/>
                <w:sz w:val="28"/>
                <w:szCs w:val="28"/>
                <w:lang w:val="en-US" w:eastAsia="zh-CN"/>
              </w:rPr>
              <w:t>-</w:t>
            </w:r>
            <w:r>
              <w:rPr>
                <w:rFonts w:hint="eastAsia" w:ascii="仿宋_GB2312" w:hAnsi="仿宋_GB2312" w:eastAsia="仿宋_GB2312" w:cs="仿宋_GB2312"/>
                <w:spacing w:val="-1"/>
                <w:sz w:val="28"/>
                <w:szCs w:val="28"/>
              </w:rPr>
              <w:t>URTC</w:t>
            </w:r>
          </w:p>
          <w:p w14:paraId="7C7C32C2">
            <w:pPr>
              <w:pStyle w:val="33"/>
              <w:pageBreakBefore w:val="0"/>
              <w:widowControl w:val="0"/>
              <w:kinsoku/>
              <w:wordWrap/>
              <w:overflowPunct/>
              <w:topLinePunct w:val="0"/>
              <w:bidi w:val="0"/>
              <w:adjustRightInd/>
              <w:spacing w:before="129" w:line="560" w:lineRule="exact"/>
              <w:ind w:right="129" w:firstLine="278" w:firstLineChars="100"/>
              <w:jc w:val="center"/>
              <w:textAlignment w:val="auto"/>
              <w:rPr>
                <w:rFonts w:hint="eastAsia" w:ascii="仿宋_GB2312" w:hAnsi="仿宋_GB2312" w:eastAsia="仿宋_GB2312" w:cs="仿宋_GB2312"/>
                <w:spacing w:val="-1"/>
                <w:sz w:val="28"/>
                <w:szCs w:val="28"/>
                <w:lang w:val="en-US" w:eastAsia="zh-CN"/>
              </w:rPr>
            </w:pPr>
            <w:r>
              <w:rPr>
                <w:rFonts w:hint="eastAsia" w:ascii="仿宋_GB2312" w:hAnsi="仿宋_GB2312" w:eastAsia="仿宋_GB2312" w:cs="仿宋_GB2312"/>
                <w:spacing w:val="-1"/>
                <w:sz w:val="28"/>
                <w:szCs w:val="28"/>
                <w:lang w:val="en-US" w:eastAsia="zh-CN"/>
              </w:rPr>
              <w:t>-</w:t>
            </w:r>
          </w:p>
          <w:p w14:paraId="2128BC4F">
            <w:pPr>
              <w:pStyle w:val="33"/>
              <w:pageBreakBefore w:val="0"/>
              <w:widowControl w:val="0"/>
              <w:kinsoku/>
              <w:wordWrap/>
              <w:overflowPunct/>
              <w:topLinePunct w:val="0"/>
              <w:bidi w:val="0"/>
              <w:adjustRightInd/>
              <w:spacing w:before="129" w:line="560" w:lineRule="exact"/>
              <w:ind w:left="172" w:right="129" w:hanging="60"/>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YWSP</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-2</w:t>
            </w:r>
          </w:p>
        </w:tc>
        <w:tc>
          <w:tcPr>
            <w:tcW w:w="5194" w:type="dxa"/>
            <w:gridSpan w:val="3"/>
            <w:noWrap w:val="0"/>
            <w:vAlign w:val="top"/>
          </w:tcPr>
          <w:p w14:paraId="40FA51EB">
            <w:pPr>
              <w:pStyle w:val="33"/>
              <w:pageBreakBefore w:val="0"/>
              <w:widowControl w:val="0"/>
              <w:kinsoku/>
              <w:wordWrap/>
              <w:overflowPunct/>
              <w:topLinePunct w:val="0"/>
              <w:bidi w:val="0"/>
              <w:adjustRightInd/>
              <w:spacing w:before="55" w:line="560" w:lineRule="exact"/>
              <w:ind w:left="103"/>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城市轨道交通信号设备实物平台包含组合柜、集中控</w:t>
            </w:r>
            <w:r>
              <w:rPr>
                <w:rFonts w:hint="eastAsia" w:ascii="仿宋_GB2312" w:hAnsi="仿宋_GB2312" w:eastAsia="仿宋_GB2312" w:cs="仿宋_GB2312"/>
                <w:spacing w:val="-1"/>
                <w:sz w:val="28"/>
                <w:szCs w:val="28"/>
              </w:rPr>
              <w:t>制柜、信号</w:t>
            </w:r>
            <w:r>
              <w:rPr>
                <w:rFonts w:hint="eastAsia" w:ascii="仿宋_GB2312" w:hAnsi="仿宋_GB2312" w:eastAsia="仿宋_GB2312" w:cs="仿宋_GB2312"/>
                <w:spacing w:val="-1"/>
                <w:sz w:val="28"/>
                <w:szCs w:val="28"/>
                <w:lang w:val="en-US" w:eastAsia="zh-CN"/>
              </w:rPr>
              <w:t>机</w:t>
            </w:r>
            <w:r>
              <w:rPr>
                <w:rFonts w:hint="eastAsia" w:ascii="仿宋_GB2312" w:hAnsi="仿宋_GB2312" w:eastAsia="仿宋_GB2312" w:cs="仿宋_GB2312"/>
                <w:spacing w:val="-1"/>
                <w:sz w:val="28"/>
                <w:szCs w:val="28"/>
                <w:lang w:eastAsia="zh-CN"/>
              </w:rPr>
              <w:t>、</w:t>
            </w:r>
            <w:r>
              <w:rPr>
                <w:rFonts w:hint="eastAsia" w:ascii="仿宋_GB2312" w:hAnsi="仿宋_GB2312" w:eastAsia="仿宋_GB2312" w:cs="仿宋_GB2312"/>
                <w:spacing w:val="-1"/>
                <w:sz w:val="28"/>
                <w:szCs w:val="28"/>
                <w:lang w:val="en-US" w:eastAsia="zh-CN"/>
              </w:rPr>
              <w:t>转辙机</w:t>
            </w:r>
            <w:r>
              <w:rPr>
                <w:rFonts w:hint="eastAsia" w:ascii="仿宋_GB2312" w:hAnsi="仿宋_GB2312" w:eastAsia="仿宋_GB2312" w:cs="仿宋_GB2312"/>
                <w:sz w:val="28"/>
                <w:szCs w:val="28"/>
              </w:rPr>
              <w:t>及道岔。通过平台的实训，使城市轨道交通信号专业学员了解并掌握计算机联锁设备、ATS系统、LED信号机、转微机及锁闭装置、50Hz相敏轨道电路、紧急停车按钮、屏蔽门控制等信号系统原理。平台设置智能故障考核系统，设置联</w:t>
            </w:r>
            <w:r>
              <w:rPr>
                <w:rFonts w:hint="eastAsia" w:ascii="仿宋_GB2312" w:hAnsi="仿宋_GB2312" w:eastAsia="仿宋_GB2312" w:cs="仿宋_GB2312"/>
                <w:spacing w:val="-1"/>
                <w:sz w:val="28"/>
                <w:szCs w:val="28"/>
              </w:rPr>
              <w:t>锁设备故障、信号机</w:t>
            </w:r>
            <w:r>
              <w:rPr>
                <w:rFonts w:hint="eastAsia" w:ascii="仿宋_GB2312" w:hAnsi="仿宋_GB2312" w:eastAsia="仿宋_GB2312" w:cs="仿宋_GB2312"/>
                <w:spacing w:val="1"/>
                <w:sz w:val="28"/>
                <w:szCs w:val="28"/>
              </w:rPr>
              <w:t>点灯电路故障、转辙机动作及表示电路故障、50</w:t>
            </w:r>
            <w:r>
              <w:rPr>
                <w:rFonts w:hint="eastAsia" w:ascii="仿宋_GB2312" w:hAnsi="仿宋_GB2312" w:eastAsia="仿宋_GB2312" w:cs="仿宋_GB2312"/>
                <w:sz w:val="28"/>
                <w:szCs w:val="28"/>
              </w:rPr>
              <w:t>Hz</w:t>
            </w:r>
            <w:r>
              <w:rPr>
                <w:rFonts w:hint="eastAsia" w:ascii="仿宋_GB2312" w:hAnsi="仿宋_GB2312" w:eastAsia="仿宋_GB2312" w:cs="仿宋_GB2312"/>
                <w:spacing w:val="1"/>
                <w:sz w:val="28"/>
                <w:szCs w:val="28"/>
              </w:rPr>
              <w:t>相敏轨道电路故</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障、培养学员对信号设备进行测试、检修作业的能力以及对信号设备进行故障分析、定位及故障处理的能力。组合柜继电器数量不少</w:t>
            </w:r>
            <w:r>
              <w:rPr>
                <w:rFonts w:hint="eastAsia" w:ascii="仿宋_GB2312" w:hAnsi="仿宋_GB2312" w:eastAsia="仿宋_GB2312" w:cs="仿宋_GB2312"/>
                <w:spacing w:val="2"/>
                <w:sz w:val="28"/>
                <w:szCs w:val="28"/>
              </w:rPr>
              <w:t>于30个；继电器型号包含</w:t>
            </w:r>
            <w:r>
              <w:rPr>
                <w:rFonts w:hint="eastAsia" w:ascii="仿宋_GB2312" w:hAnsi="仿宋_GB2312" w:eastAsia="仿宋_GB2312" w:cs="仿宋_GB2312"/>
                <w:sz w:val="28"/>
                <w:szCs w:val="28"/>
              </w:rPr>
              <w:t>JWXC</w:t>
            </w:r>
            <w:r>
              <w:rPr>
                <w:rFonts w:hint="eastAsia" w:ascii="仿宋_GB2312" w:hAnsi="仿宋_GB2312" w:eastAsia="仿宋_GB2312" w:cs="仿宋_GB2312"/>
                <w:spacing w:val="2"/>
                <w:sz w:val="28"/>
                <w:szCs w:val="28"/>
              </w:rPr>
              <w:t>-1700</w:t>
            </w:r>
            <w:r>
              <w:rPr>
                <w:rFonts w:hint="eastAsia" w:ascii="仿宋_GB2312" w:hAnsi="仿宋_GB2312" w:eastAsia="仿宋_GB2312" w:cs="仿宋_GB2312"/>
                <w:spacing w:val="2"/>
                <w:sz w:val="28"/>
                <w:szCs w:val="28"/>
                <w:lang w:eastAsia="zh-CN"/>
              </w:rPr>
              <w:t>、</w:t>
            </w:r>
            <w:r>
              <w:rPr>
                <w:rFonts w:hint="eastAsia" w:ascii="仿宋_GB2312" w:hAnsi="仿宋_GB2312" w:eastAsia="仿宋_GB2312" w:cs="仿宋_GB2312"/>
                <w:sz w:val="28"/>
                <w:szCs w:val="28"/>
              </w:rPr>
              <w:t>JZXC</w:t>
            </w:r>
            <w:r>
              <w:rPr>
                <w:rFonts w:hint="eastAsia" w:ascii="仿宋_GB2312" w:hAnsi="仿宋_GB2312" w:eastAsia="仿宋_GB2312" w:cs="仿宋_GB2312"/>
                <w:spacing w:val="2"/>
                <w:sz w:val="28"/>
                <w:szCs w:val="28"/>
              </w:rPr>
              <w:t>-H18</w:t>
            </w:r>
            <w:r>
              <w:rPr>
                <w:rFonts w:hint="eastAsia" w:ascii="仿宋_GB2312" w:hAnsi="仿宋_GB2312" w:eastAsia="仿宋_GB2312" w:cs="仿宋_GB2312"/>
                <w:spacing w:val="2"/>
                <w:sz w:val="28"/>
                <w:szCs w:val="28"/>
                <w:lang w:eastAsia="zh-CN"/>
              </w:rPr>
              <w:t>、</w:t>
            </w:r>
            <w:r>
              <w:rPr>
                <w:rFonts w:hint="eastAsia" w:ascii="仿宋_GB2312" w:hAnsi="仿宋_GB2312" w:eastAsia="仿宋_GB2312" w:cs="仿宋_GB2312"/>
                <w:sz w:val="28"/>
                <w:szCs w:val="28"/>
              </w:rPr>
              <w:t>JWJXC</w:t>
            </w:r>
            <w:r>
              <w:rPr>
                <w:rFonts w:hint="eastAsia" w:ascii="仿宋_GB2312" w:hAnsi="仿宋_GB2312" w:eastAsia="仿宋_GB2312" w:cs="仿宋_GB2312"/>
                <w:spacing w:val="2"/>
                <w:sz w:val="28"/>
                <w:szCs w:val="28"/>
              </w:rPr>
              <w:t>-480</w:t>
            </w:r>
            <w:r>
              <w:rPr>
                <w:rFonts w:hint="eastAsia" w:ascii="仿宋_GB2312" w:hAnsi="仿宋_GB2312" w:eastAsia="仿宋_GB2312" w:cs="仿宋_GB2312"/>
                <w:spacing w:val="2"/>
                <w:sz w:val="28"/>
                <w:szCs w:val="28"/>
                <w:lang w:eastAsia="zh-CN"/>
              </w:rPr>
              <w:t>、</w:t>
            </w:r>
            <w:r>
              <w:rPr>
                <w:rFonts w:hint="eastAsia" w:ascii="仿宋_GB2312" w:hAnsi="仿宋_GB2312" w:eastAsia="仿宋_GB2312" w:cs="仿宋_GB2312"/>
                <w:sz w:val="28"/>
                <w:szCs w:val="28"/>
              </w:rPr>
              <w:t>JWJXC-H340、JWJXC-H125\80、JYJXC-160\260、JPXC-1000</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DBQ、BDI-7、RXYC-75/1K</w:t>
            </w:r>
            <w:r>
              <w:rPr>
                <w:rFonts w:hint="eastAsia" w:ascii="仿宋_GB2312" w:hAnsi="仿宋_GB2312" w:eastAsia="仿宋_GB2312" w:cs="仿宋_GB2312"/>
                <w:sz w:val="28"/>
                <w:szCs w:val="28"/>
                <w:lang w:val="en-US" w:eastAsia="zh-CN"/>
              </w:rPr>
              <w:t>Ω</w:t>
            </w:r>
            <w:r>
              <w:rPr>
                <w:rFonts w:hint="eastAsia" w:ascii="仿宋_GB2312" w:hAnsi="仿宋_GB2312" w:eastAsia="仿宋_GB2312" w:cs="仿宋_GB2312"/>
                <w:sz w:val="28"/>
                <w:szCs w:val="28"/>
              </w:rPr>
              <w:t>、TFQ-A、WXJ-5</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1"/>
                <w:sz w:val="28"/>
                <w:szCs w:val="28"/>
                <w:lang w:val="en-US" w:eastAsia="zh-CN"/>
              </w:rPr>
              <w:t>Ⅱ。</w:t>
            </w:r>
          </w:p>
        </w:tc>
        <w:tc>
          <w:tcPr>
            <w:tcW w:w="390" w:type="dxa"/>
            <w:noWrap w:val="0"/>
            <w:vAlign w:val="top"/>
          </w:tcPr>
          <w:p w14:paraId="421018AD">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13F0A2A1">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4E68B2DB">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63DC231B">
            <w:pPr>
              <w:pStyle w:val="33"/>
              <w:pageBreakBefore w:val="0"/>
              <w:widowControl w:val="0"/>
              <w:kinsoku/>
              <w:wordWrap/>
              <w:overflowPunct/>
              <w:topLinePunct w:val="0"/>
              <w:bidi w:val="0"/>
              <w:adjustRightInd/>
              <w:spacing w:before="39" w:line="560" w:lineRule="exact"/>
              <w:ind w:left="129"/>
              <w:jc w:val="left"/>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1</w:t>
            </w:r>
          </w:p>
        </w:tc>
        <w:tc>
          <w:tcPr>
            <w:tcW w:w="1427" w:type="dxa"/>
            <w:noWrap w:val="0"/>
            <w:vAlign w:val="top"/>
          </w:tcPr>
          <w:p w14:paraId="32F1CC50">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tc>
      </w:tr>
      <w:tr w14:paraId="4EC7F2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38" w:hRule="atLeast"/>
        </w:trPr>
        <w:tc>
          <w:tcPr>
            <w:tcW w:w="570" w:type="dxa"/>
            <w:noWrap w:val="0"/>
            <w:textDirection w:val="tbRlV"/>
            <w:vAlign w:val="top"/>
          </w:tcPr>
          <w:p w14:paraId="563AF880">
            <w:pPr>
              <w:pStyle w:val="33"/>
              <w:pageBreakBefore w:val="0"/>
              <w:widowControl w:val="0"/>
              <w:kinsoku/>
              <w:wordWrap/>
              <w:overflowPunct/>
              <w:topLinePunct w:val="0"/>
              <w:bidi w:val="0"/>
              <w:adjustRightInd/>
              <w:spacing w:before="113" w:line="560" w:lineRule="exact"/>
              <w:ind w:left="2038"/>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软</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件</w:t>
            </w:r>
          </w:p>
        </w:tc>
        <w:tc>
          <w:tcPr>
            <w:tcW w:w="800" w:type="dxa"/>
            <w:noWrap w:val="0"/>
            <w:vAlign w:val="top"/>
          </w:tcPr>
          <w:p w14:paraId="11A856DC">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53970DA3">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0E9CAF70">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323D3D08">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4CFC9F4A">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4A878CE9">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262741FD">
            <w:pPr>
              <w:pStyle w:val="33"/>
              <w:pageBreakBefore w:val="0"/>
              <w:widowControl w:val="0"/>
              <w:kinsoku/>
              <w:wordWrap/>
              <w:overflowPunct/>
              <w:topLinePunct w:val="0"/>
              <w:bidi w:val="0"/>
              <w:adjustRightInd/>
              <w:spacing w:before="39" w:line="560" w:lineRule="exact"/>
              <w:ind w:left="81" w:right="92"/>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城市轨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道交通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车站应</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急处置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虚拟仿</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真系统</w:t>
            </w:r>
          </w:p>
        </w:tc>
        <w:tc>
          <w:tcPr>
            <w:tcW w:w="960" w:type="dxa"/>
            <w:noWrap w:val="0"/>
            <w:vAlign w:val="top"/>
          </w:tcPr>
          <w:p w14:paraId="323B8415">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2812F0A5">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339D31D9">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3E72C166">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341359A1">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304EEE50">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38AB5E97">
            <w:pPr>
              <w:pageBreakBefore w:val="0"/>
              <w:widowControl w:val="0"/>
              <w:kinsoku/>
              <w:wordWrap/>
              <w:overflowPunct/>
              <w:topLinePunct w:val="0"/>
              <w:bidi w:val="0"/>
              <w:adjustRightInd/>
              <w:spacing w:line="560" w:lineRule="exact"/>
              <w:jc w:val="center"/>
              <w:textAlignment w:val="auto"/>
              <w:rPr>
                <w:rFonts w:hint="eastAsia" w:ascii="仿宋_GB2312" w:hAnsi="仿宋_GB2312" w:eastAsia="仿宋_GB2312" w:cs="仿宋_GB2312"/>
                <w:sz w:val="28"/>
                <w:szCs w:val="28"/>
              </w:rPr>
            </w:pPr>
          </w:p>
          <w:p w14:paraId="76866432">
            <w:pPr>
              <w:pStyle w:val="33"/>
              <w:pageBreakBefore w:val="0"/>
              <w:widowControl w:val="0"/>
              <w:kinsoku/>
              <w:wordWrap/>
              <w:overflowPunct/>
              <w:topLinePunct w:val="0"/>
              <w:bidi w:val="0"/>
              <w:adjustRightInd/>
              <w:spacing w:before="39" w:line="560" w:lineRule="exact"/>
              <w:ind w:left="112" w:right="128"/>
              <w:jc w:val="center"/>
              <w:textAlignment w:val="auto"/>
              <w:rPr>
                <w:rFonts w:hint="eastAsia" w:ascii="仿宋_GB2312" w:hAnsi="仿宋_GB2312" w:eastAsia="仿宋_GB2312" w:cs="仿宋_GB2312"/>
                <w:spacing w:val="-1"/>
                <w:sz w:val="28"/>
                <w:szCs w:val="28"/>
              </w:rPr>
            </w:pPr>
            <w:r>
              <w:rPr>
                <w:rFonts w:hint="eastAsia" w:ascii="仿宋_GB2312" w:hAnsi="仿宋_GB2312" w:eastAsia="仿宋_GB2312" w:cs="仿宋_GB2312"/>
                <w:spacing w:val="-1"/>
                <w:sz w:val="28"/>
                <w:szCs w:val="28"/>
              </w:rPr>
              <w:t>YDT=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URTC</w:t>
            </w:r>
          </w:p>
          <w:p w14:paraId="7B785CB1">
            <w:pPr>
              <w:pStyle w:val="33"/>
              <w:pageBreakBefore w:val="0"/>
              <w:widowControl w:val="0"/>
              <w:kinsoku/>
              <w:wordWrap/>
              <w:overflowPunct/>
              <w:topLinePunct w:val="0"/>
              <w:bidi w:val="0"/>
              <w:adjustRightInd/>
              <w:spacing w:before="180" w:line="560" w:lineRule="exact"/>
              <w:ind w:right="129" w:firstLine="278" w:firstLineChars="100"/>
              <w:jc w:val="center"/>
              <w:textAlignment w:val="auto"/>
              <w:rPr>
                <w:rFonts w:hint="eastAsia" w:ascii="仿宋_GB2312" w:hAnsi="仿宋_GB2312" w:eastAsia="仿宋_GB2312" w:cs="仿宋_GB2312"/>
                <w:spacing w:val="-1"/>
                <w:sz w:val="28"/>
                <w:szCs w:val="28"/>
                <w:lang w:val="en-US" w:eastAsia="zh-CN"/>
              </w:rPr>
            </w:pPr>
            <w:r>
              <w:rPr>
                <w:rFonts w:hint="eastAsia" w:ascii="仿宋_GB2312" w:hAnsi="仿宋_GB2312" w:eastAsia="仿宋_GB2312" w:cs="仿宋_GB2312"/>
                <w:spacing w:val="-1"/>
                <w:sz w:val="28"/>
                <w:szCs w:val="28"/>
                <w:lang w:val="en-US" w:eastAsia="zh-CN"/>
              </w:rPr>
              <w:t>-</w:t>
            </w:r>
          </w:p>
          <w:p w14:paraId="10C77444">
            <w:pPr>
              <w:pStyle w:val="33"/>
              <w:pageBreakBefore w:val="0"/>
              <w:widowControl w:val="0"/>
              <w:kinsoku/>
              <w:wordWrap/>
              <w:overflowPunct/>
              <w:topLinePunct w:val="0"/>
              <w:bidi w:val="0"/>
              <w:adjustRightInd/>
              <w:spacing w:before="180" w:line="560" w:lineRule="exact"/>
              <w:ind w:left="172" w:right="129" w:hanging="60"/>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YWSP</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-1</w:t>
            </w:r>
          </w:p>
        </w:tc>
        <w:tc>
          <w:tcPr>
            <w:tcW w:w="5194" w:type="dxa"/>
            <w:gridSpan w:val="3"/>
            <w:noWrap w:val="0"/>
            <w:vAlign w:val="top"/>
          </w:tcPr>
          <w:p w14:paraId="6F2CD592">
            <w:pPr>
              <w:pStyle w:val="33"/>
              <w:pageBreakBefore w:val="0"/>
              <w:widowControl w:val="0"/>
              <w:kinsoku/>
              <w:wordWrap/>
              <w:overflowPunct/>
              <w:topLinePunct w:val="0"/>
              <w:bidi w:val="0"/>
              <w:adjustRightInd/>
              <w:spacing w:before="89" w:line="560" w:lineRule="exact"/>
              <w:ind w:left="43" w:right="145" w:firstLine="90"/>
              <w:jc w:val="left"/>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rPr>
              <w:t>城市轨道交通车站应急处置虚拟仿真平台包含7个</w:t>
            </w:r>
            <w:r>
              <w:rPr>
                <w:rFonts w:hint="eastAsia" w:ascii="仿宋_GB2312" w:hAnsi="仿宋_GB2312" w:eastAsia="仿宋_GB2312" w:cs="仿宋_GB2312"/>
                <w:sz w:val="28"/>
                <w:szCs w:val="28"/>
                <w:lang w:val="en-US" w:eastAsia="zh-CN"/>
              </w:rPr>
              <w:t>模</w:t>
            </w:r>
          </w:p>
          <w:p w14:paraId="25324729">
            <w:pPr>
              <w:pStyle w:val="33"/>
              <w:pageBreakBefore w:val="0"/>
              <w:widowControl w:val="0"/>
              <w:kinsoku/>
              <w:wordWrap/>
              <w:overflowPunct/>
              <w:topLinePunct w:val="0"/>
              <w:bidi w:val="0"/>
              <w:adjustRightInd/>
              <w:spacing w:before="89" w:line="560" w:lineRule="exact"/>
              <w:ind w:right="145"/>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块。分别是车</w:t>
            </w:r>
            <w:r>
              <w:rPr>
                <w:rFonts w:hint="eastAsia" w:ascii="仿宋_GB2312" w:hAnsi="仿宋_GB2312" w:eastAsia="仿宋_GB2312" w:cs="仿宋_GB2312"/>
                <w:sz w:val="28"/>
                <w:szCs w:val="28"/>
              </w:rPr>
              <w:t>站服务实训系统、车站级ATS系统、综合监控系统、</w:t>
            </w:r>
            <w:r>
              <w:rPr>
                <w:rFonts w:hint="eastAsia" w:ascii="仿宋_GB2312" w:hAnsi="仿宋_GB2312" w:eastAsia="仿宋_GB2312" w:cs="仿宋_GB2312"/>
                <w:spacing w:val="-1"/>
                <w:sz w:val="28"/>
                <w:szCs w:val="28"/>
              </w:rPr>
              <w:t>中心级ATS系</w:t>
            </w:r>
            <w:r>
              <w:rPr>
                <w:rFonts w:hint="eastAsia" w:ascii="仿宋_GB2312" w:hAnsi="仿宋_GB2312" w:eastAsia="仿宋_GB2312" w:cs="仿宋_GB2312"/>
                <w:sz w:val="28"/>
                <w:szCs w:val="28"/>
              </w:rPr>
              <w:t>统、调度通讯系统、小组服务器、考核管理系统。</w:t>
            </w:r>
          </w:p>
          <w:p w14:paraId="7A5A379A">
            <w:pPr>
              <w:pStyle w:val="33"/>
              <w:pageBreakBefore w:val="0"/>
              <w:widowControl w:val="0"/>
              <w:kinsoku/>
              <w:wordWrap/>
              <w:overflowPunct/>
              <w:topLinePunct w:val="0"/>
              <w:bidi w:val="0"/>
              <w:adjustRightInd/>
              <w:spacing w:before="16" w:line="560" w:lineRule="exact"/>
              <w:ind w:left="73"/>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(1)车站服务实训系统：该系统为虚拟仿真的车站场景，实训人员可控制角色在站内漫游，并且可对虚拟场景内的设</w:t>
            </w:r>
            <w:r>
              <w:rPr>
                <w:rFonts w:hint="eastAsia" w:ascii="仿宋_GB2312" w:hAnsi="仿宋_GB2312" w:eastAsia="仿宋_GB2312" w:cs="仿宋_GB2312"/>
                <w:spacing w:val="-1"/>
                <w:sz w:val="28"/>
                <w:szCs w:val="28"/>
              </w:rPr>
              <w:t>备进行操作，站</w:t>
            </w:r>
            <w:r>
              <w:rPr>
                <w:rFonts w:hint="eastAsia" w:ascii="仿宋_GB2312" w:hAnsi="仿宋_GB2312" w:eastAsia="仿宋_GB2312" w:cs="仿宋_GB2312"/>
                <w:sz w:val="28"/>
                <w:szCs w:val="28"/>
              </w:rPr>
              <w:t>内可操作设备包含但不限于站台门、IBP盘、站内急停、自动售票机等。</w:t>
            </w:r>
          </w:p>
          <w:p w14:paraId="17A846FA">
            <w:pPr>
              <w:pStyle w:val="33"/>
              <w:pageBreakBefore w:val="0"/>
              <w:widowControl w:val="0"/>
              <w:kinsoku/>
              <w:wordWrap/>
              <w:overflowPunct/>
              <w:topLinePunct w:val="0"/>
              <w:bidi w:val="0"/>
              <w:adjustRightInd/>
              <w:spacing w:before="9" w:line="560" w:lineRule="exact"/>
              <w:ind w:left="93"/>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(2)车站级ATS系统：该系统可实现对联锁模式与CBTC模式下单独控区内联锁运营环境的仿真与控制。模块支持</w:t>
            </w:r>
            <w:r>
              <w:rPr>
                <w:rFonts w:hint="eastAsia" w:ascii="仿宋_GB2312" w:hAnsi="仿宋_GB2312" w:eastAsia="仿宋_GB2312" w:cs="仿宋_GB2312"/>
                <w:spacing w:val="-1"/>
                <w:sz w:val="28"/>
                <w:szCs w:val="28"/>
              </w:rPr>
              <w:t>车站控制权的切</w:t>
            </w:r>
            <w:r>
              <w:rPr>
                <w:rFonts w:hint="eastAsia" w:ascii="仿宋_GB2312" w:hAnsi="仿宋_GB2312" w:eastAsia="仿宋_GB2312" w:cs="仿宋_GB2312"/>
                <w:sz w:val="28"/>
                <w:szCs w:val="28"/>
              </w:rPr>
              <w:t>换，切换后可由车站ATS系统修改联锁区内信号、道岔等设备。</w:t>
            </w:r>
          </w:p>
          <w:p w14:paraId="2A2DF339">
            <w:pPr>
              <w:pStyle w:val="33"/>
              <w:pageBreakBefore w:val="0"/>
              <w:widowControl w:val="0"/>
              <w:kinsoku/>
              <w:wordWrap/>
              <w:overflowPunct/>
              <w:topLinePunct w:val="0"/>
              <w:bidi w:val="0"/>
              <w:adjustRightInd/>
              <w:spacing w:before="16" w:line="560" w:lineRule="exact"/>
              <w:ind w:left="63" w:right="105" w:firstLine="70"/>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(3)综合监控系统：该系统可实现站内设备状态监控和控制包含机</w:t>
            </w:r>
            <w:r>
              <w:rPr>
                <w:rFonts w:hint="eastAsia" w:ascii="仿宋_GB2312" w:hAnsi="仿宋_GB2312" w:eastAsia="仿宋_GB2312" w:cs="仿宋_GB2312"/>
                <w:spacing w:val="1"/>
                <w:sz w:val="28"/>
                <w:szCs w:val="28"/>
              </w:rPr>
              <w:t>电设备、供电设备、火灾报警设备、安全门设备、广播设备、乘客</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信息设备、门禁设备。</w:t>
            </w:r>
          </w:p>
          <w:p w14:paraId="5DA97E1E">
            <w:pPr>
              <w:pStyle w:val="33"/>
              <w:pageBreakBefore w:val="0"/>
              <w:widowControl w:val="0"/>
              <w:kinsoku/>
              <w:wordWrap/>
              <w:overflowPunct/>
              <w:topLinePunct w:val="0"/>
              <w:bidi w:val="0"/>
              <w:adjustRightInd/>
              <w:spacing w:before="28" w:line="560" w:lineRule="exact"/>
              <w:ind w:left="93"/>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(4)中心级ATS系统：该系统，可实现对联锁模式与CBTC模式下整条线路内联锁运营环境的仿真与控制。模</w:t>
            </w:r>
            <w:r>
              <w:rPr>
                <w:rFonts w:hint="eastAsia" w:ascii="仿宋_GB2312" w:hAnsi="仿宋_GB2312" w:eastAsia="仿宋_GB2312" w:cs="仿宋_GB2312"/>
                <w:spacing w:val="-1"/>
                <w:sz w:val="28"/>
                <w:szCs w:val="28"/>
              </w:rPr>
              <w:t>块支持ATS系统内修</w:t>
            </w:r>
            <w:r>
              <w:rPr>
                <w:rFonts w:hint="eastAsia" w:ascii="仿宋_GB2312" w:hAnsi="仿宋_GB2312" w:eastAsia="仿宋_GB2312" w:cs="仿宋_GB2312"/>
                <w:sz w:val="28"/>
                <w:szCs w:val="28"/>
              </w:rPr>
              <w:t>改联锁区内信号、道岔等设备。并具备下放回</w:t>
            </w:r>
            <w:r>
              <w:rPr>
                <w:rFonts w:hint="eastAsia" w:ascii="仿宋_GB2312" w:hAnsi="仿宋_GB2312" w:eastAsia="仿宋_GB2312" w:cs="仿宋_GB2312"/>
                <w:spacing w:val="-1"/>
                <w:sz w:val="28"/>
                <w:szCs w:val="28"/>
              </w:rPr>
              <w:t>收ATS系统控制权等</w:t>
            </w:r>
            <w:r>
              <w:rPr>
                <w:rFonts w:hint="eastAsia" w:ascii="仿宋_GB2312" w:hAnsi="仿宋_GB2312" w:eastAsia="仿宋_GB2312" w:cs="仿宋_GB2312"/>
                <w:sz w:val="28"/>
                <w:szCs w:val="28"/>
              </w:rPr>
              <w:t xml:space="preserve"> 行车设备操作。</w:t>
            </w:r>
          </w:p>
          <w:p w14:paraId="278C11D7">
            <w:pPr>
              <w:pStyle w:val="33"/>
              <w:pageBreakBefore w:val="0"/>
              <w:widowControl w:val="0"/>
              <w:kinsoku/>
              <w:wordWrap/>
              <w:overflowPunct/>
              <w:topLinePunct w:val="0"/>
              <w:bidi w:val="0"/>
              <w:adjustRightInd/>
              <w:spacing w:before="37" w:line="560" w:lineRule="exact"/>
              <w:ind w:left="33" w:right="136" w:firstLine="100"/>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(5)调度通讯系统：该系统支持与车站、司机、其它部分进行通话</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。界面布局参照行业使用的无线电台与调度电话。通过选择</w:t>
            </w:r>
            <w:r>
              <w:rPr>
                <w:rFonts w:hint="eastAsia" w:ascii="仿宋_GB2312" w:hAnsi="仿宋_GB2312" w:eastAsia="仿宋_GB2312" w:cs="仿宋_GB2312"/>
                <w:spacing w:val="-3"/>
                <w:sz w:val="28"/>
                <w:szCs w:val="28"/>
              </w:rPr>
              <w:t>呼叫对</w:t>
            </w:r>
            <w:r>
              <w:rPr>
                <w:rFonts w:hint="eastAsia" w:ascii="仿宋_GB2312" w:hAnsi="仿宋_GB2312" w:eastAsia="仿宋_GB2312" w:cs="仿宋_GB2312"/>
                <w:sz w:val="28"/>
                <w:szCs w:val="28"/>
              </w:rPr>
              <w:t xml:space="preserve">   象可进行单呼、组呼、派接等通话方式。在</w:t>
            </w:r>
            <w:r>
              <w:rPr>
                <w:rFonts w:hint="eastAsia" w:ascii="仿宋_GB2312" w:hAnsi="仿宋_GB2312" w:eastAsia="仿宋_GB2312" w:cs="仿宋_GB2312"/>
                <w:spacing w:val="-1"/>
                <w:sz w:val="28"/>
                <w:szCs w:val="28"/>
              </w:rPr>
              <w:t>考核过程中模拟与其它</w:t>
            </w:r>
            <w:r>
              <w:rPr>
                <w:rFonts w:hint="eastAsia" w:ascii="仿宋_GB2312" w:hAnsi="仿宋_GB2312" w:eastAsia="仿宋_GB2312" w:cs="仿宋_GB2312"/>
                <w:sz w:val="28"/>
                <w:szCs w:val="28"/>
              </w:rPr>
              <w:t xml:space="preserve">  角色沟通过程，实现与车站服务实训系统内联络功</w:t>
            </w:r>
            <w:r>
              <w:rPr>
                <w:rFonts w:hint="eastAsia" w:ascii="仿宋_GB2312" w:hAnsi="仿宋_GB2312" w:eastAsia="仿宋_GB2312" w:cs="仿宋_GB2312"/>
                <w:spacing w:val="-1"/>
                <w:sz w:val="28"/>
                <w:szCs w:val="28"/>
              </w:rPr>
              <w:t>能。</w:t>
            </w:r>
          </w:p>
          <w:p w14:paraId="63BAF61C">
            <w:pPr>
              <w:pStyle w:val="33"/>
              <w:pageBreakBefore w:val="0"/>
              <w:widowControl w:val="0"/>
              <w:kinsoku/>
              <w:wordWrap/>
              <w:overflowPunct/>
              <w:topLinePunct w:val="0"/>
              <w:bidi w:val="0"/>
              <w:adjustRightInd/>
              <w:spacing w:before="28" w:line="560" w:lineRule="exact"/>
              <w:ind w:left="53" w:right="190" w:firstLine="20"/>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(6)小组服务器：该系统支持考核练习内各模块状态查看、跳转和</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z w:val="28"/>
                <w:szCs w:val="28"/>
              </w:rPr>
              <w:t>重置任务功能。</w:t>
            </w:r>
          </w:p>
          <w:p w14:paraId="470BF352">
            <w:pPr>
              <w:pStyle w:val="33"/>
              <w:pageBreakBefore w:val="0"/>
              <w:widowControl w:val="0"/>
              <w:kinsoku/>
              <w:wordWrap/>
              <w:overflowPunct/>
              <w:topLinePunct w:val="0"/>
              <w:bidi w:val="0"/>
              <w:adjustRightInd/>
              <w:spacing w:before="29" w:line="560" w:lineRule="exact"/>
              <w:ind w:left="13" w:right="205" w:firstLine="50"/>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(7)考核管理系统：该系统教员系统用于对学员进行监控与管理。 包含故障编辑、试卷管理、考生管理，批次管理、考</w:t>
            </w:r>
            <w:r>
              <w:rPr>
                <w:rFonts w:hint="eastAsia" w:ascii="仿宋_GB2312" w:hAnsi="仿宋_GB2312" w:eastAsia="仿宋_GB2312" w:cs="仿宋_GB2312"/>
                <w:spacing w:val="-1"/>
                <w:sz w:val="28"/>
                <w:szCs w:val="28"/>
              </w:rPr>
              <w:t>试监控、成绩</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查询等功能。</w:t>
            </w:r>
          </w:p>
        </w:tc>
        <w:tc>
          <w:tcPr>
            <w:tcW w:w="390" w:type="dxa"/>
            <w:noWrap w:val="0"/>
            <w:vAlign w:val="top"/>
          </w:tcPr>
          <w:p w14:paraId="4DDF85F5">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582CC945">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1A37BBF7">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43F030A4">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1C5B031B">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34F3F543">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40E2785E">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4DF24861">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p w14:paraId="012D425A">
            <w:pPr>
              <w:pStyle w:val="33"/>
              <w:pageBreakBefore w:val="0"/>
              <w:widowControl w:val="0"/>
              <w:kinsoku/>
              <w:wordWrap/>
              <w:overflowPunct/>
              <w:topLinePunct w:val="0"/>
              <w:bidi w:val="0"/>
              <w:adjustRightInd/>
              <w:spacing w:before="39" w:line="560" w:lineRule="exact"/>
              <w:ind w:left="129"/>
              <w:jc w:val="left"/>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1</w:t>
            </w:r>
          </w:p>
        </w:tc>
        <w:tc>
          <w:tcPr>
            <w:tcW w:w="1427" w:type="dxa"/>
            <w:noWrap w:val="0"/>
            <w:vAlign w:val="top"/>
          </w:tcPr>
          <w:p w14:paraId="1F6511A1">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tc>
      </w:tr>
      <w:tr w14:paraId="30DDAA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08" w:hRule="atLeast"/>
        </w:trPr>
        <w:tc>
          <w:tcPr>
            <w:tcW w:w="570" w:type="dxa"/>
            <w:noWrap w:val="0"/>
            <w:vAlign w:val="top"/>
          </w:tcPr>
          <w:p w14:paraId="322297A6">
            <w:pPr>
              <w:pStyle w:val="33"/>
              <w:pageBreakBefore w:val="0"/>
              <w:widowControl w:val="0"/>
              <w:kinsoku/>
              <w:wordWrap/>
              <w:overflowPunct/>
              <w:topLinePunct w:val="0"/>
              <w:bidi w:val="0"/>
              <w:adjustRightInd/>
              <w:spacing w:before="37" w:line="560" w:lineRule="exact"/>
              <w:ind w:left="33" w:right="136" w:firstLine="100"/>
              <w:jc w:val="center"/>
              <w:textAlignment w:val="auto"/>
              <w:rPr>
                <w:rFonts w:hint="eastAsia" w:ascii="仿宋_GB2312" w:hAnsi="仿宋_GB2312" w:eastAsia="仿宋_GB2312" w:cs="仿宋_GB2312"/>
                <w:sz w:val="28"/>
                <w:szCs w:val="28"/>
              </w:rPr>
            </w:pPr>
          </w:p>
          <w:p w14:paraId="7A7C6CF5">
            <w:pPr>
              <w:pStyle w:val="33"/>
              <w:pageBreakBefore w:val="0"/>
              <w:widowControl w:val="0"/>
              <w:kinsoku/>
              <w:wordWrap/>
              <w:overflowPunct/>
              <w:topLinePunct w:val="0"/>
              <w:bidi w:val="0"/>
              <w:adjustRightInd/>
              <w:spacing w:before="37" w:line="560" w:lineRule="exact"/>
              <w:ind w:right="136"/>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工 具</w:t>
            </w:r>
          </w:p>
        </w:tc>
        <w:tc>
          <w:tcPr>
            <w:tcW w:w="800" w:type="dxa"/>
            <w:noWrap w:val="0"/>
            <w:vAlign w:val="top"/>
          </w:tcPr>
          <w:p w14:paraId="0AF13ABE">
            <w:pPr>
              <w:pStyle w:val="33"/>
              <w:pageBreakBefore w:val="0"/>
              <w:widowControl w:val="0"/>
              <w:kinsoku/>
              <w:wordWrap/>
              <w:overflowPunct/>
              <w:topLinePunct w:val="0"/>
              <w:bidi w:val="0"/>
              <w:adjustRightInd/>
              <w:spacing w:before="37" w:line="560" w:lineRule="exact"/>
              <w:ind w:left="33" w:right="136" w:firstLine="100"/>
              <w:jc w:val="center"/>
              <w:textAlignment w:val="auto"/>
              <w:rPr>
                <w:rFonts w:hint="eastAsia" w:ascii="仿宋_GB2312" w:hAnsi="仿宋_GB2312" w:eastAsia="仿宋_GB2312" w:cs="仿宋_GB2312"/>
                <w:sz w:val="28"/>
                <w:szCs w:val="28"/>
              </w:rPr>
            </w:pPr>
          </w:p>
          <w:p w14:paraId="1AC35E6E">
            <w:pPr>
              <w:pStyle w:val="33"/>
              <w:pageBreakBefore w:val="0"/>
              <w:widowControl w:val="0"/>
              <w:kinsoku/>
              <w:wordWrap/>
              <w:overflowPunct/>
              <w:topLinePunct w:val="0"/>
              <w:bidi w:val="0"/>
              <w:adjustRightInd/>
              <w:spacing w:before="37" w:line="560" w:lineRule="exact"/>
              <w:ind w:right="136"/>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手摇道 岔工具</w:t>
            </w:r>
          </w:p>
        </w:tc>
        <w:tc>
          <w:tcPr>
            <w:tcW w:w="960" w:type="dxa"/>
            <w:noWrap w:val="0"/>
            <w:vAlign w:val="top"/>
          </w:tcPr>
          <w:p w14:paraId="34F86675">
            <w:pPr>
              <w:pStyle w:val="33"/>
              <w:pageBreakBefore w:val="0"/>
              <w:widowControl w:val="0"/>
              <w:kinsoku/>
              <w:wordWrap/>
              <w:overflowPunct/>
              <w:topLinePunct w:val="0"/>
              <w:bidi w:val="0"/>
              <w:adjustRightInd/>
              <w:spacing w:before="37" w:line="560" w:lineRule="exact"/>
              <w:ind w:left="33" w:right="136" w:firstLine="100"/>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YDT= URTC</w:t>
            </w:r>
          </w:p>
          <w:p w14:paraId="2F368564">
            <w:pPr>
              <w:pStyle w:val="33"/>
              <w:pageBreakBefore w:val="0"/>
              <w:widowControl w:val="0"/>
              <w:kinsoku/>
              <w:wordWrap/>
              <w:overflowPunct/>
              <w:topLinePunct w:val="0"/>
              <w:bidi w:val="0"/>
              <w:adjustRightInd/>
              <w:spacing w:before="37" w:line="560" w:lineRule="exact"/>
              <w:ind w:left="33" w:right="136" w:firstLine="100"/>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YWSP -AD1</w:t>
            </w:r>
          </w:p>
        </w:tc>
        <w:tc>
          <w:tcPr>
            <w:tcW w:w="5194" w:type="dxa"/>
            <w:gridSpan w:val="3"/>
            <w:noWrap w:val="0"/>
            <w:vAlign w:val="top"/>
          </w:tcPr>
          <w:p w14:paraId="5622B114">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铁路专用四色信号灯1个；对讲机2个：钩锁器1个：</w:t>
            </w:r>
          </w:p>
          <w:p w14:paraId="79B0D122">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钩锁器扳手：钩锁器锁钥匙1把，信号锁钥匙1把</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工具包1个：</w:t>
            </w:r>
          </w:p>
          <w:p w14:paraId="3F696790">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反光衣2件；安全帽2个；手摇把1把；保护手套2双：绝绿手套2 双：红色</w:t>
            </w:r>
            <w:r>
              <w:rPr>
                <w:rFonts w:hint="eastAsia" w:ascii="仿宋_GB2312" w:hAnsi="仿宋_GB2312" w:eastAsia="仿宋_GB2312" w:cs="仿宋_GB2312"/>
                <w:sz w:val="28"/>
                <w:szCs w:val="28"/>
                <w:lang w:val="en-US" w:eastAsia="zh-CN"/>
              </w:rPr>
              <w:t>鳄</w:t>
            </w:r>
            <w:r>
              <w:rPr>
                <w:rFonts w:hint="eastAsia" w:ascii="仿宋_GB2312" w:hAnsi="仿宋_GB2312" w:eastAsia="仿宋_GB2312" w:cs="仿宋_GB2312"/>
                <w:sz w:val="28"/>
                <w:szCs w:val="28"/>
              </w:rPr>
              <w:t>鱼夹线4根；红色压接线4根；延长线1根：</w:t>
            </w:r>
          </w:p>
          <w:p w14:paraId="1B303F66">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万用表1个：图纸1册；箱盒钥匙(内六角</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1个：</w:t>
            </w:r>
          </w:p>
          <w:p w14:paraId="1AC60446">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箱盒钥匙(内五角)1个；万可螺丝刀1把；十字螺丝刀1把：收纳 箱1个：</w:t>
            </w:r>
          </w:p>
        </w:tc>
        <w:tc>
          <w:tcPr>
            <w:tcW w:w="390" w:type="dxa"/>
            <w:noWrap w:val="0"/>
            <w:vAlign w:val="top"/>
          </w:tcPr>
          <w:p w14:paraId="0AD53A35">
            <w:pPr>
              <w:pStyle w:val="33"/>
              <w:pageBreakBefore w:val="0"/>
              <w:widowControl w:val="0"/>
              <w:kinsoku/>
              <w:wordWrap/>
              <w:overflowPunct/>
              <w:topLinePunct w:val="0"/>
              <w:bidi w:val="0"/>
              <w:adjustRightInd/>
              <w:spacing w:before="39" w:line="560" w:lineRule="exact"/>
              <w:ind w:left="129"/>
              <w:jc w:val="left"/>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1</w:t>
            </w:r>
          </w:p>
        </w:tc>
        <w:tc>
          <w:tcPr>
            <w:tcW w:w="1427" w:type="dxa"/>
            <w:noWrap w:val="0"/>
            <w:vAlign w:val="top"/>
          </w:tcPr>
          <w:p w14:paraId="2E98EF36">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tc>
      </w:tr>
      <w:tr w14:paraId="27DE69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8" w:hRule="atLeast"/>
        </w:trPr>
        <w:tc>
          <w:tcPr>
            <w:tcW w:w="570" w:type="dxa"/>
            <w:noWrap w:val="0"/>
            <w:vAlign w:val="top"/>
          </w:tcPr>
          <w:p w14:paraId="228C391B">
            <w:pPr>
              <w:pStyle w:val="33"/>
              <w:pageBreakBefore w:val="0"/>
              <w:widowControl w:val="0"/>
              <w:kinsoku/>
              <w:wordWrap/>
              <w:overflowPunct/>
              <w:topLinePunct w:val="0"/>
              <w:bidi w:val="0"/>
              <w:adjustRightInd/>
              <w:spacing w:before="37" w:line="560" w:lineRule="exact"/>
              <w:ind w:right="136"/>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工 具</w:t>
            </w:r>
          </w:p>
        </w:tc>
        <w:tc>
          <w:tcPr>
            <w:tcW w:w="800" w:type="dxa"/>
            <w:noWrap w:val="0"/>
            <w:vAlign w:val="top"/>
          </w:tcPr>
          <w:p w14:paraId="7CFC112C">
            <w:pPr>
              <w:pStyle w:val="33"/>
              <w:pageBreakBefore w:val="0"/>
              <w:widowControl w:val="0"/>
              <w:kinsoku/>
              <w:wordWrap/>
              <w:overflowPunct/>
              <w:topLinePunct w:val="0"/>
              <w:bidi w:val="0"/>
              <w:adjustRightInd/>
              <w:spacing w:before="37" w:line="560" w:lineRule="exact"/>
              <w:ind w:right="136"/>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信号设 备故障 处理工 具清单</w:t>
            </w:r>
          </w:p>
        </w:tc>
        <w:tc>
          <w:tcPr>
            <w:tcW w:w="960" w:type="dxa"/>
            <w:noWrap w:val="0"/>
            <w:vAlign w:val="top"/>
          </w:tcPr>
          <w:p w14:paraId="698F197B">
            <w:pPr>
              <w:pStyle w:val="33"/>
              <w:pageBreakBefore w:val="0"/>
              <w:widowControl w:val="0"/>
              <w:kinsoku/>
              <w:wordWrap/>
              <w:overflowPunct/>
              <w:topLinePunct w:val="0"/>
              <w:bidi w:val="0"/>
              <w:adjustRightInd/>
              <w:spacing w:before="37" w:line="560" w:lineRule="exact"/>
              <w:ind w:left="33" w:right="136" w:firstLine="100"/>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YDT- URTC</w:t>
            </w:r>
          </w:p>
          <w:p w14:paraId="312821BC">
            <w:pPr>
              <w:pStyle w:val="33"/>
              <w:pageBreakBefore w:val="0"/>
              <w:widowControl w:val="0"/>
              <w:kinsoku/>
              <w:wordWrap/>
              <w:overflowPunct/>
              <w:topLinePunct w:val="0"/>
              <w:bidi w:val="0"/>
              <w:adjustRightInd/>
              <w:spacing w:before="37" w:line="560" w:lineRule="exact"/>
              <w:ind w:left="33" w:right="136" w:firstLine="100"/>
              <w:jc w:val="center"/>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w:t>
            </w:r>
          </w:p>
          <w:p w14:paraId="497BBF27">
            <w:pPr>
              <w:pStyle w:val="33"/>
              <w:pageBreakBefore w:val="0"/>
              <w:widowControl w:val="0"/>
              <w:kinsoku/>
              <w:wordWrap/>
              <w:overflowPunct/>
              <w:topLinePunct w:val="0"/>
              <w:bidi w:val="0"/>
              <w:adjustRightInd/>
              <w:spacing w:before="37" w:line="560" w:lineRule="exact"/>
              <w:ind w:left="33" w:right="136" w:firstLine="100"/>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Y</w:t>
            </w:r>
            <w:r>
              <w:rPr>
                <w:rFonts w:hint="eastAsia" w:ascii="仿宋_GB2312" w:hAnsi="仿宋_GB2312" w:eastAsia="仿宋_GB2312" w:cs="仿宋_GB2312"/>
                <w:sz w:val="28"/>
                <w:szCs w:val="28"/>
              </w:rPr>
              <w:t>WSP -AD2</w:t>
            </w:r>
          </w:p>
        </w:tc>
        <w:tc>
          <w:tcPr>
            <w:tcW w:w="5194" w:type="dxa"/>
            <w:gridSpan w:val="3"/>
            <w:noWrap w:val="0"/>
            <w:vAlign w:val="top"/>
          </w:tcPr>
          <w:p w14:paraId="71C557AE">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收纳箱1个：红色鳄鱼夹线20根；红色压接线10根：</w:t>
            </w:r>
          </w:p>
          <w:p w14:paraId="6DF89F2F">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延长线1根：万用表1个；图纸1册；箱盒钥匙(内六角)1个：箱盒钥匙(内五角)1个：万可螺丝刀1把；十字螺丝刀1把；绝缘手套2双；</w:t>
            </w:r>
          </w:p>
        </w:tc>
        <w:tc>
          <w:tcPr>
            <w:tcW w:w="390" w:type="dxa"/>
            <w:noWrap w:val="0"/>
            <w:vAlign w:val="top"/>
          </w:tcPr>
          <w:p w14:paraId="38FCFF1B">
            <w:pPr>
              <w:pStyle w:val="33"/>
              <w:pageBreakBefore w:val="0"/>
              <w:widowControl w:val="0"/>
              <w:kinsoku/>
              <w:wordWrap/>
              <w:overflowPunct/>
              <w:topLinePunct w:val="0"/>
              <w:bidi w:val="0"/>
              <w:adjustRightInd/>
              <w:spacing w:before="39" w:line="560" w:lineRule="exact"/>
              <w:ind w:left="129"/>
              <w:jc w:val="left"/>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1</w:t>
            </w:r>
          </w:p>
        </w:tc>
        <w:tc>
          <w:tcPr>
            <w:tcW w:w="1427" w:type="dxa"/>
            <w:noWrap w:val="0"/>
            <w:vAlign w:val="top"/>
          </w:tcPr>
          <w:p w14:paraId="006D508D">
            <w:pPr>
              <w:pageBreakBefore w:val="0"/>
              <w:widowControl w:val="0"/>
              <w:kinsoku/>
              <w:wordWrap/>
              <w:overflowPunct/>
              <w:topLinePunct w:val="0"/>
              <w:bidi w:val="0"/>
              <w:adjustRightInd/>
              <w:spacing w:line="560" w:lineRule="exact"/>
              <w:jc w:val="left"/>
              <w:textAlignment w:val="auto"/>
              <w:rPr>
                <w:rFonts w:hint="eastAsia" w:ascii="仿宋_GB2312" w:hAnsi="仿宋_GB2312" w:eastAsia="仿宋_GB2312" w:cs="仿宋_GB2312"/>
                <w:sz w:val="28"/>
                <w:szCs w:val="28"/>
              </w:rPr>
            </w:pPr>
          </w:p>
        </w:tc>
      </w:tr>
      <w:tr w14:paraId="5E4876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08" w:hRule="atLeast"/>
        </w:trPr>
        <w:tc>
          <w:tcPr>
            <w:tcW w:w="570" w:type="dxa"/>
            <w:noWrap w:val="0"/>
            <w:textDirection w:val="tbRlV"/>
            <w:vAlign w:val="top"/>
          </w:tcPr>
          <w:p w14:paraId="2034363C">
            <w:pPr>
              <w:pStyle w:val="33"/>
              <w:pageBreakBefore w:val="0"/>
              <w:widowControl w:val="0"/>
              <w:kinsoku/>
              <w:wordWrap/>
              <w:overflowPunct/>
              <w:topLinePunct w:val="0"/>
              <w:bidi w:val="0"/>
              <w:adjustRightInd/>
              <w:spacing w:before="37" w:line="560" w:lineRule="exact"/>
              <w:ind w:right="136"/>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技术支持</w:t>
            </w:r>
          </w:p>
        </w:tc>
        <w:tc>
          <w:tcPr>
            <w:tcW w:w="8771" w:type="dxa"/>
            <w:gridSpan w:val="7"/>
            <w:noWrap w:val="0"/>
            <w:vAlign w:val="top"/>
          </w:tcPr>
          <w:p w14:paraId="2C8F61B9">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(情况概述包括设备技术保障，安全操作规范要求等)</w:t>
            </w:r>
          </w:p>
          <w:p w14:paraId="02CD4155">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一、设备技术保障</w:t>
            </w:r>
          </w:p>
          <w:p w14:paraId="50A21211">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rPr>
              <w:t>1.竟赛现场组建设备技术保障团队</w:t>
            </w:r>
            <w:r>
              <w:rPr>
                <w:rFonts w:hint="eastAsia" w:ascii="仿宋_GB2312" w:hAnsi="仿宋_GB2312" w:eastAsia="仿宋_GB2312" w:cs="仿宋_GB2312"/>
                <w:sz w:val="28"/>
                <w:szCs w:val="28"/>
                <w:lang w:eastAsia="zh-CN"/>
              </w:rPr>
              <w:t>。</w:t>
            </w:r>
          </w:p>
          <w:p w14:paraId="139C2C11">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2.赛前，技术保障团队负责各项功能测试验证，多环节确认，保障设备运行稳定。</w:t>
            </w:r>
          </w:p>
          <w:p w14:paraId="30AE9E96">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 xml:space="preserve">3.竞赛现场设备如果出现技术故障，在裁判充许下，技术保障人员进行技术支持。 </w:t>
            </w:r>
          </w:p>
          <w:p w14:paraId="0A74952D">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4.竞赛软件支持断网重连功能，选手操作内容均在数据库内存有备份。</w:t>
            </w:r>
          </w:p>
          <w:p w14:paraId="66064F9C">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二、安全操作规范要求</w:t>
            </w:r>
          </w:p>
          <w:p w14:paraId="4D26D57C">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 xml:space="preserve">1.手摇道岔作业时，需穿戴好安全帽，绝逢鞋，保护手套； </w:t>
            </w:r>
          </w:p>
          <w:p w14:paraId="705BFE21">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rPr>
              <w:t>2.信号故障带电查找故障时需</w:t>
            </w:r>
            <w:r>
              <w:rPr>
                <w:rFonts w:hint="eastAsia" w:ascii="仿宋_GB2312" w:hAnsi="仿宋_GB2312" w:eastAsia="仿宋_GB2312" w:cs="仿宋_GB2312"/>
                <w:sz w:val="28"/>
                <w:szCs w:val="28"/>
                <w:lang w:val="en-US" w:eastAsia="zh-CN"/>
              </w:rPr>
              <w:t>佩</w:t>
            </w:r>
            <w:r>
              <w:rPr>
                <w:rFonts w:hint="eastAsia" w:ascii="仿宋_GB2312" w:hAnsi="仿宋_GB2312" w:eastAsia="仿宋_GB2312" w:cs="仿宋_GB2312"/>
                <w:sz w:val="28"/>
                <w:szCs w:val="28"/>
              </w:rPr>
              <w:t>戴</w:t>
            </w:r>
            <w:r>
              <w:rPr>
                <w:rFonts w:hint="eastAsia" w:ascii="仿宋_GB2312" w:hAnsi="仿宋_GB2312" w:eastAsia="仿宋_GB2312" w:cs="仿宋_GB2312"/>
                <w:sz w:val="28"/>
                <w:szCs w:val="28"/>
                <w:lang w:val="en-US" w:eastAsia="zh-CN"/>
              </w:rPr>
              <w:t>绝</w:t>
            </w:r>
            <w:r>
              <w:rPr>
                <w:rFonts w:hint="eastAsia" w:ascii="仿宋_GB2312" w:hAnsi="仿宋_GB2312" w:eastAsia="仿宋_GB2312" w:cs="仿宋_GB2312"/>
                <w:sz w:val="28"/>
                <w:szCs w:val="28"/>
              </w:rPr>
              <w:t>缘手套</w:t>
            </w:r>
            <w:r>
              <w:rPr>
                <w:rFonts w:hint="eastAsia" w:ascii="仿宋_GB2312" w:hAnsi="仿宋_GB2312" w:eastAsia="仿宋_GB2312" w:cs="仿宋_GB2312"/>
                <w:sz w:val="28"/>
                <w:szCs w:val="28"/>
                <w:lang w:eastAsia="zh-CN"/>
              </w:rPr>
              <w:t>；</w:t>
            </w:r>
          </w:p>
          <w:p w14:paraId="68BC61C3">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 xml:space="preserve">3.道岔处理过程需搬动道岔时，需远离活动部件。防止夹伤挤伤： </w:t>
            </w:r>
          </w:p>
          <w:p w14:paraId="137DFB29">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rPr>
              <w:t>4.正确使用仪表，带电时禁止使用导通档</w:t>
            </w:r>
            <w:r>
              <w:rPr>
                <w:rFonts w:hint="eastAsia" w:ascii="仿宋_GB2312" w:hAnsi="仿宋_GB2312" w:eastAsia="仿宋_GB2312" w:cs="仿宋_GB2312"/>
                <w:sz w:val="28"/>
                <w:szCs w:val="28"/>
                <w:lang w:eastAsia="zh-CN"/>
              </w:rPr>
              <w:t>；</w:t>
            </w:r>
          </w:p>
          <w:p w14:paraId="4DA2750D">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rPr>
              <w:t>5.信号设备故障处理，</w:t>
            </w:r>
            <w:r>
              <w:rPr>
                <w:rFonts w:hint="eastAsia" w:ascii="仿宋_GB2312" w:hAnsi="仿宋_GB2312" w:eastAsia="仿宋_GB2312" w:cs="仿宋_GB2312"/>
                <w:sz w:val="28"/>
                <w:szCs w:val="28"/>
                <w:lang w:val="en-US" w:eastAsia="zh-CN"/>
              </w:rPr>
              <w:t>如</w:t>
            </w:r>
            <w:r>
              <w:rPr>
                <w:rFonts w:hint="eastAsia" w:ascii="仿宋_GB2312" w:hAnsi="仿宋_GB2312" w:eastAsia="仿宋_GB2312" w:cs="仿宋_GB2312"/>
                <w:sz w:val="28"/>
                <w:szCs w:val="28"/>
              </w:rPr>
              <w:t>需加线验证，需断电</w:t>
            </w:r>
            <w:r>
              <w:rPr>
                <w:rFonts w:hint="eastAsia" w:ascii="仿宋_GB2312" w:hAnsi="仿宋_GB2312" w:eastAsia="仿宋_GB2312" w:cs="仿宋_GB2312"/>
                <w:sz w:val="28"/>
                <w:szCs w:val="28"/>
                <w:lang w:eastAsia="zh-CN"/>
              </w:rPr>
              <w:t>；</w:t>
            </w:r>
          </w:p>
          <w:p w14:paraId="06837AC9">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6.确认信号设备故障时，如使用</w:t>
            </w:r>
            <w:r>
              <w:rPr>
                <w:rFonts w:hint="eastAsia" w:ascii="仿宋_GB2312" w:hAnsi="仿宋_GB2312" w:eastAsia="仿宋_GB2312" w:cs="仿宋_GB2312"/>
                <w:sz w:val="28"/>
                <w:szCs w:val="28"/>
                <w:lang w:val="en-US" w:eastAsia="zh-CN"/>
              </w:rPr>
              <w:t>鳄</w:t>
            </w:r>
            <w:r>
              <w:rPr>
                <w:rFonts w:hint="eastAsia" w:ascii="仿宋_GB2312" w:hAnsi="仿宋_GB2312" w:eastAsia="仿宋_GB2312" w:cs="仿宋_GB2312"/>
                <w:sz w:val="28"/>
                <w:szCs w:val="28"/>
              </w:rPr>
              <w:t>鱼夹导线进行验证时，需确保无短路：</w:t>
            </w:r>
          </w:p>
          <w:p w14:paraId="18EF2C60">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7.严禁电脑未关机的情况下，直接断开220V总电源：</w:t>
            </w:r>
          </w:p>
          <w:p w14:paraId="5A426E76">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8.组合柜零层电源防护罩严禁私自打开：</w:t>
            </w:r>
          </w:p>
          <w:p w14:paraId="510C92B2">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9.城市轨道交通信号系统实物平台上电流程：为保证安全，请严格按以下顺序进行上电：将220V 电源线插至插座→将电源总开关打开→将空气开关找至上方一打开隔离变压器开关→打开24V电源</w:t>
            </w:r>
            <w:r>
              <w:rPr>
                <w:rFonts w:hint="eastAsia" w:ascii="仿宋_GB2312" w:hAnsi="仿宋_GB2312" w:eastAsia="仿宋_GB2312" w:cs="仿宋_GB2312"/>
                <w:sz w:val="28"/>
                <w:szCs w:val="28"/>
                <w:lang w:val="en-US" w:eastAsia="zh-CN"/>
              </w:rPr>
              <w:t>端子</w:t>
            </w:r>
            <w:r>
              <w:rPr>
                <w:rFonts w:hint="eastAsia" w:ascii="仿宋_GB2312" w:hAnsi="仿宋_GB2312" w:eastAsia="仿宋_GB2312" w:cs="仿宋_GB2312"/>
                <w:sz w:val="28"/>
                <w:szCs w:val="28"/>
              </w:rPr>
              <w:t>排→220V转380V电源模块输出输入空开→ 闭合零层电源空开→ 闭合组合内空开。</w:t>
            </w:r>
          </w:p>
          <w:p w14:paraId="63EA26C6">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 xml:space="preserve">10.城轨交通信号系统实物平台断电流程：为保证安全，请严格按以下顺序依次关闭电源：先断开组合内空开→断开零层电源空开→切断24V电源端子排→220V转380V电源模块输出输入空开→断开隔离变压器开关→将电脑关机→将空气开关拨至下方→关掉电源总开关→拔掉220V电源线。 </w:t>
            </w:r>
          </w:p>
          <w:p w14:paraId="759F7AD7">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三、其他</w:t>
            </w:r>
          </w:p>
          <w:p w14:paraId="0FEEABB1">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1.各学校组织代表队时，为参赛选手及领队人员购买大赛期间的人身意外伤害保险，</w:t>
            </w:r>
          </w:p>
          <w:p w14:paraId="44E7F8E4">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2.各学校代表队组成后，须制定相关管理制度，并对所有选手、领队人员进行安全教育。</w:t>
            </w:r>
          </w:p>
          <w:p w14:paraId="2AA98B04">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3.比赛期间若发生意外事故，应第一时间报告工作人员，同时采取措施将事故消灭在萌芽状态。</w:t>
            </w:r>
          </w:p>
        </w:tc>
      </w:tr>
      <w:tr w14:paraId="295AC7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28" w:hRule="atLeast"/>
        </w:trPr>
        <w:tc>
          <w:tcPr>
            <w:tcW w:w="570" w:type="dxa"/>
            <w:noWrap w:val="0"/>
            <w:textDirection w:val="tbRlV"/>
            <w:vAlign w:val="top"/>
          </w:tcPr>
          <w:p w14:paraId="112EA10E">
            <w:pPr>
              <w:pStyle w:val="33"/>
              <w:pageBreakBefore w:val="0"/>
              <w:widowControl w:val="0"/>
              <w:kinsoku/>
              <w:wordWrap/>
              <w:overflowPunct/>
              <w:topLinePunct w:val="0"/>
              <w:bidi w:val="0"/>
              <w:adjustRightInd/>
              <w:spacing w:before="37" w:line="560" w:lineRule="exact"/>
              <w:ind w:right="136"/>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场地及环境</w:t>
            </w:r>
          </w:p>
        </w:tc>
        <w:tc>
          <w:tcPr>
            <w:tcW w:w="8771" w:type="dxa"/>
            <w:gridSpan w:val="7"/>
            <w:noWrap w:val="0"/>
            <w:vAlign w:val="top"/>
          </w:tcPr>
          <w:p w14:paraId="64C1A966">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(场地、水、气：电，网等)</w:t>
            </w:r>
          </w:p>
          <w:p w14:paraId="7546270C">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1.场地面积</w:t>
            </w:r>
            <w:r>
              <w:rPr>
                <w:rFonts w:hint="eastAsia" w:ascii="仿宋_GB2312" w:hAnsi="仿宋_GB2312" w:eastAsia="仿宋_GB2312" w:cs="仿宋_GB2312"/>
                <w:sz w:val="28"/>
                <w:szCs w:val="28"/>
                <w:lang w:val="en-US" w:eastAsia="zh-CN"/>
              </w:rPr>
              <w:t>宽敞，</w:t>
            </w:r>
            <w:r>
              <w:rPr>
                <w:rFonts w:hint="eastAsia" w:ascii="仿宋_GB2312" w:hAnsi="仿宋_GB2312" w:eastAsia="仿宋_GB2312" w:cs="仿宋_GB2312"/>
                <w:sz w:val="28"/>
                <w:szCs w:val="28"/>
              </w:rPr>
              <w:t>地面平整、 明亮，通风。场地采光大于500lux,照明和通风良好，提供稳定的水、电，以及应急备用电源。 场地符合消防安全规定，现场消防器材和消防栓合格有效，应急照明设施状态合格，赛场明显位置张贴紧急疏散图。并有醒目的“安全出口”指示牌。</w:t>
            </w:r>
          </w:p>
          <w:p w14:paraId="36DAFA07">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rPr>
              <w:t>2.区域安排；竟赛场地分为检录区、竟赛区、裁判区、现场服务与技术支持区、休息区</w:t>
            </w:r>
          </w:p>
          <w:p w14:paraId="2FB0DB46">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rPr>
              <w:t xml:space="preserve">等区城 </w:t>
            </w:r>
            <w:r>
              <w:rPr>
                <w:rFonts w:hint="eastAsia" w:ascii="仿宋_GB2312" w:hAnsi="仿宋_GB2312" w:eastAsia="仿宋_GB2312" w:cs="仿宋_GB2312"/>
                <w:sz w:val="28"/>
                <w:szCs w:val="28"/>
                <w:lang w:eastAsia="zh-CN"/>
              </w:rPr>
              <w:t>。</w:t>
            </w:r>
          </w:p>
          <w:p w14:paraId="6A766743">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3.设备配置：竟赛场地配备计时装置。每个工位配备带有漏电保护装置的220V(3A)单相交流电源、灭火器以及带录音功能的视频摄像装置，竟赛全程录音录像。</w:t>
            </w:r>
          </w:p>
          <w:p w14:paraId="088083F0">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rPr>
              <w:t>4.竟赛场地配备专业医疗人员，配备应急设备和药品，以确保能够及时、有效地进行医疗救治</w:t>
            </w:r>
            <w:r>
              <w:rPr>
                <w:rFonts w:hint="eastAsia" w:ascii="仿宋_GB2312" w:hAnsi="仿宋_GB2312" w:eastAsia="仿宋_GB2312" w:cs="仿宋_GB2312"/>
                <w:sz w:val="28"/>
                <w:szCs w:val="28"/>
                <w:lang w:eastAsia="zh-CN"/>
              </w:rPr>
              <w:t>。</w:t>
            </w:r>
          </w:p>
          <w:p w14:paraId="1E9BCB18">
            <w:pPr>
              <w:pStyle w:val="33"/>
              <w:pageBreakBefore w:val="0"/>
              <w:widowControl w:val="0"/>
              <w:kinsoku/>
              <w:wordWrap/>
              <w:overflowPunct/>
              <w:topLinePunct w:val="0"/>
              <w:bidi w:val="0"/>
              <w:adjustRightInd/>
              <w:spacing w:before="37" w:line="560" w:lineRule="exact"/>
              <w:ind w:right="136"/>
              <w:jc w:val="left"/>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5.赛场采用网线、交换机搭建局域网络，保障网络稳定性。准备备用交换机、网线，以应对突发。</w:t>
            </w:r>
          </w:p>
        </w:tc>
      </w:tr>
    </w:tbl>
    <w:p w14:paraId="3F977EB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sz w:val="28"/>
          <w:szCs w:val="28"/>
          <w:highlight w:val="none"/>
          <w:lang w:val="en-US" w:eastAsia="zh-CN"/>
        </w:rPr>
      </w:pPr>
    </w:p>
    <w:p w14:paraId="19DCDC02">
      <w:pPr>
        <w:pageBreakBefore w:val="0"/>
        <w:widowControl w:val="0"/>
        <w:kinsoku/>
        <w:wordWrap/>
        <w:overflowPunct/>
        <w:topLinePunct w:val="0"/>
        <w:bidi w:val="0"/>
        <w:adjustRightInd/>
        <w:snapToGrid w:val="0"/>
        <w:spacing w:line="560" w:lineRule="exact"/>
        <w:ind w:firstLine="562" w:firstLineChars="200"/>
        <w:textAlignment w:val="auto"/>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lang w:val="en-US" w:eastAsia="zh-CN"/>
        </w:rPr>
        <w:t>七</w:t>
      </w:r>
      <w:r>
        <w:rPr>
          <w:rFonts w:hint="eastAsia" w:ascii="仿宋_GB2312" w:hAnsi="仿宋_GB2312" w:eastAsia="仿宋_GB2312" w:cs="仿宋_GB2312"/>
          <w:b/>
          <w:bCs/>
          <w:sz w:val="28"/>
          <w:szCs w:val="28"/>
          <w:highlight w:val="none"/>
        </w:rPr>
        <w:t>、竞赛规则</w:t>
      </w:r>
    </w:p>
    <w:p w14:paraId="4BA2F91D">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（一）参赛选手报名</w:t>
      </w:r>
    </w:p>
    <w:p w14:paraId="2B0F26F0">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w:t>
      </w:r>
      <w:r>
        <w:rPr>
          <w:rFonts w:hint="eastAsia" w:ascii="仿宋_GB2312" w:hAnsi="仿宋_GB2312" w:eastAsia="仿宋_GB2312" w:cs="仿宋_GB2312"/>
          <w:color w:val="000000" w:themeColor="text1"/>
          <w:kern w:val="0"/>
          <w:sz w:val="28"/>
          <w:szCs w:val="28"/>
          <w:highlight w:val="none"/>
          <w14:textFill>
            <w14:solidFill>
              <w14:schemeClr w14:val="tx1"/>
            </w14:solidFill>
          </w14:textFill>
        </w:rPr>
        <w:t>选手必须满足本规程第四项第（三）条规定的报名资格要求，并在规定时间报名。每所学校可报名的参赛队伍及人数</w:t>
      </w:r>
      <w:r>
        <w:rPr>
          <w:rFonts w:hint="eastAsia" w:ascii="仿宋_GB2312" w:hAnsi="仿宋_GB2312" w:eastAsia="仿宋_GB2312" w:cs="仿宋_GB2312"/>
          <w:sz w:val="28"/>
          <w:szCs w:val="28"/>
          <w:highlight w:val="none"/>
        </w:rPr>
        <w:t>以</w:t>
      </w:r>
      <w:r>
        <w:rPr>
          <w:rFonts w:hint="eastAsia" w:ascii="仿宋_GB2312" w:hAnsi="仿宋_GB2312" w:eastAsia="仿宋_GB2312" w:cs="仿宋_GB2312"/>
          <w:sz w:val="28"/>
          <w:szCs w:val="28"/>
          <w:highlight w:val="none"/>
          <w:lang w:eastAsia="zh-CN"/>
        </w:rPr>
        <w:t>兰州市</w:t>
      </w:r>
      <w:r>
        <w:rPr>
          <w:rFonts w:hint="eastAsia" w:ascii="仿宋_GB2312" w:hAnsi="仿宋_GB2312" w:eastAsia="仿宋_GB2312" w:cs="仿宋_GB2312"/>
          <w:sz w:val="28"/>
          <w:szCs w:val="28"/>
          <w:highlight w:val="none"/>
        </w:rPr>
        <w:t>职业院校技能大赛执委会办公室要求及各地州市教育主管部门要求为准</w:t>
      </w:r>
      <w:r>
        <w:rPr>
          <w:rFonts w:hint="eastAsia" w:ascii="仿宋_GB2312" w:hAnsi="仿宋_GB2312" w:eastAsia="仿宋_GB2312" w:cs="仿宋_GB2312"/>
          <w:color w:val="000000" w:themeColor="text1"/>
          <w:kern w:val="0"/>
          <w:sz w:val="28"/>
          <w:szCs w:val="28"/>
          <w:highlight w:val="none"/>
          <w14:textFill>
            <w14:solidFill>
              <w14:schemeClr w14:val="tx1"/>
            </w14:solidFill>
          </w14:textFill>
        </w:rPr>
        <w:t>。</w:t>
      </w:r>
    </w:p>
    <w:p w14:paraId="24283D7D">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2.选手报名成功后不得随意更换。如备赛过程中选手因故无法参赛，须由</w:t>
      </w:r>
      <w:r>
        <w:rPr>
          <w:rFonts w:hint="eastAsia" w:ascii="仿宋_GB2312" w:hAnsi="仿宋_GB2312" w:eastAsia="仿宋_GB2312" w:cs="仿宋_GB2312"/>
          <w:kern w:val="0"/>
          <w:sz w:val="28"/>
          <w:szCs w:val="28"/>
          <w:highlight w:val="none"/>
          <w:lang w:val="en-US" w:eastAsia="zh-CN"/>
        </w:rPr>
        <w:t>市</w:t>
      </w:r>
      <w:r>
        <w:rPr>
          <w:rFonts w:hint="eastAsia" w:ascii="仿宋_GB2312" w:hAnsi="仿宋_GB2312" w:eastAsia="仿宋_GB2312" w:cs="仿宋_GB2312"/>
          <w:kern w:val="0"/>
          <w:sz w:val="28"/>
          <w:szCs w:val="28"/>
          <w:highlight w:val="none"/>
        </w:rPr>
        <w:t>级教育行政部门出具书面说明，经大赛执委会办公室核实后予以更换，更换后的选手需满足本赛项选手报名资格。</w:t>
      </w:r>
    </w:p>
    <w:p w14:paraId="314903F9">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（二）熟悉场地</w:t>
      </w:r>
    </w:p>
    <w:p w14:paraId="6C1AD485">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1.参赛选手应在竞赛日程规定的时间熟悉竞赛场地。</w:t>
      </w:r>
    </w:p>
    <w:p w14:paraId="3E61D3A0">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2.参赛队熟悉竞赛场地后，认为所提供的设备、工具等不符合竞赛规定或有异议时，参赛队领队必须在2小时内提出书面报告，送交赛项执委会进行处理，超过时效将不予受理。</w:t>
      </w:r>
    </w:p>
    <w:p w14:paraId="6F3E95B5">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（三）入场规则</w:t>
      </w:r>
    </w:p>
    <w:p w14:paraId="2921CE8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1.选手必须携带身份证、学生证、参赛证，按抽签序号在规定时间参加检录。证件不全者不能通过检录，特殊情况须出具有效证明。超过15分钟未到场检录者，视为自动放弃参赛，禁止入场。</w:t>
      </w:r>
    </w:p>
    <w:p w14:paraId="6C117BC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2.选手不得携带手机及其它电子通讯以及存储设备入场。</w:t>
      </w:r>
    </w:p>
    <w:p w14:paraId="441B47E2">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（四）赛场规则</w:t>
      </w:r>
    </w:p>
    <w:p w14:paraId="598CF48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1.选手进入赛场后，根据裁判的指令检查试题、设备、耗材等，并进行签字确认。</w:t>
      </w:r>
    </w:p>
    <w:p w14:paraId="713A4323">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2.竞赛过程中，选手如遇到平台、设备等异常，可报告裁判，请求技术支持。非选手原因造成的异常问题，由技术人员解决后，给予选手补时。否则，由此产生的技术支持时间计入比赛时间。</w:t>
      </w:r>
    </w:p>
    <w:p w14:paraId="6BEC309C">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3.竞赛过程中，选手不得离开指定的场地。选手如需上洗手间，其时间计入竞赛用时。</w:t>
      </w:r>
    </w:p>
    <w:p w14:paraId="2DAA918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4.在竞赛过程中，选手如有不服从裁判判决、扰乱赛场秩序、舞弊等不文明行为，由裁判给予警告，情节严重的取消竞赛资格。</w:t>
      </w:r>
    </w:p>
    <w:p w14:paraId="4A5EACDE">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5.选手如需提前结束竞赛，应举手向裁判员示意。裁判员记录竞赛结束时间，结束竞赛后选手不得再进行任何操作。</w:t>
      </w:r>
    </w:p>
    <w:p w14:paraId="35E65BE2">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（五）离场规则</w:t>
      </w:r>
    </w:p>
    <w:p w14:paraId="797DBE0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1.裁判长发布竞赛结束指令后选手须立即停止操作，有序离场。</w:t>
      </w:r>
    </w:p>
    <w:p w14:paraId="6B86678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2.竞赛期间选手不得自行离场。否则按终止比赛处理。</w:t>
      </w:r>
    </w:p>
    <w:p w14:paraId="177CBE0A">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（六）成绩评定</w:t>
      </w:r>
    </w:p>
    <w:p w14:paraId="218B8CF4">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lang w:val="en-US" w:eastAsia="zh-CN"/>
        </w:rPr>
      </w:pPr>
      <w:r>
        <w:rPr>
          <w:rFonts w:hint="eastAsia" w:ascii="仿宋_GB2312" w:hAnsi="仿宋_GB2312" w:eastAsia="仿宋_GB2312" w:cs="仿宋_GB2312"/>
          <w:kern w:val="0"/>
          <w:sz w:val="28"/>
          <w:szCs w:val="28"/>
          <w:highlight w:val="none"/>
        </w:rPr>
        <w:t>1.</w:t>
      </w:r>
      <w:r>
        <w:rPr>
          <w:rFonts w:hint="eastAsia" w:ascii="仿宋_GB2312" w:hAnsi="仿宋_GB2312" w:eastAsia="仿宋_GB2312" w:cs="仿宋_GB2312"/>
          <w:kern w:val="0"/>
          <w:sz w:val="28"/>
          <w:szCs w:val="28"/>
          <w:highlight w:val="none"/>
          <w:lang w:val="en-US" w:eastAsia="zh-CN"/>
        </w:rPr>
        <w:t>成绩评定应充分依据表1中评分要素，坚持公正客观、质量优先、标准同意、透明公开的原则，确保评审过程的公正性、客观性和有效性。</w:t>
      </w:r>
    </w:p>
    <w:p w14:paraId="37A8700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2.裁判执裁必须遵守回避同区域或同单位选手的原则。</w:t>
      </w:r>
    </w:p>
    <w:p w14:paraId="51F11449">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3.成绩评定后、解密后的成绩，由裁判长和监督组长共同签字后，由专人送保密室封存。</w:t>
      </w:r>
    </w:p>
    <w:p w14:paraId="25413E67">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（七）成绩复核与公布</w:t>
      </w:r>
    </w:p>
    <w:p w14:paraId="7A12281C">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1.竞赛成绩经复核无误后，由裁判长、监督人员审核签字后确定。</w:t>
      </w:r>
    </w:p>
    <w:p w14:paraId="5D570A75">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2.赛项成绩解密后，在指定地点，以纸质形式向全体参赛队进行公示。成绩无异议后，在闭赛式上予以公布。</w:t>
      </w:r>
    </w:p>
    <w:p w14:paraId="37544BBE">
      <w:pPr>
        <w:pageBreakBefore w:val="0"/>
        <w:widowControl w:val="0"/>
        <w:kinsoku/>
        <w:wordWrap/>
        <w:overflowPunct/>
        <w:topLinePunct w:val="0"/>
        <w:bidi w:val="0"/>
        <w:adjustRightInd/>
        <w:snapToGrid w:val="0"/>
        <w:spacing w:line="560" w:lineRule="exact"/>
        <w:ind w:firstLine="562" w:firstLineChars="200"/>
        <w:textAlignment w:val="auto"/>
        <w:rPr>
          <w:rFonts w:hint="eastAsia" w:ascii="仿宋_GB2312" w:hAnsi="仿宋_GB2312" w:eastAsia="仿宋_GB2312" w:cs="仿宋_GB2312"/>
          <w:b/>
          <w:bCs/>
          <w:spacing w:val="-8"/>
          <w:sz w:val="28"/>
          <w:szCs w:val="28"/>
          <w:highlight w:val="none"/>
        </w:rPr>
      </w:pPr>
      <w:r>
        <w:rPr>
          <w:rFonts w:hint="eastAsia" w:ascii="仿宋_GB2312" w:hAnsi="仿宋_GB2312" w:eastAsia="仿宋_GB2312" w:cs="仿宋_GB2312"/>
          <w:b/>
          <w:bCs/>
          <w:sz w:val="28"/>
          <w:szCs w:val="28"/>
          <w:highlight w:val="none"/>
          <w:lang w:val="en-US" w:eastAsia="zh-CN"/>
        </w:rPr>
        <w:t>八</w:t>
      </w:r>
      <w:r>
        <w:rPr>
          <w:rFonts w:hint="eastAsia" w:ascii="仿宋_GB2312" w:hAnsi="仿宋_GB2312" w:eastAsia="仿宋_GB2312" w:cs="仿宋_GB2312"/>
          <w:b/>
          <w:bCs/>
          <w:sz w:val="28"/>
          <w:szCs w:val="28"/>
          <w:highlight w:val="none"/>
        </w:rPr>
        <w:t>、</w:t>
      </w:r>
      <w:r>
        <w:rPr>
          <w:rFonts w:hint="eastAsia" w:ascii="仿宋_GB2312" w:hAnsi="仿宋_GB2312" w:eastAsia="仿宋_GB2312" w:cs="仿宋_GB2312"/>
          <w:b/>
          <w:bCs/>
          <w:spacing w:val="-8"/>
          <w:sz w:val="28"/>
          <w:szCs w:val="28"/>
          <w:highlight w:val="none"/>
        </w:rPr>
        <w:t>技术规范</w:t>
      </w:r>
    </w:p>
    <w:p w14:paraId="54F38DE8">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（一）国家职业技能标准</w:t>
      </w:r>
    </w:p>
    <w:p w14:paraId="4251F6E6">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1.《城市轨道交通服务员》（职业编码：4-02-01-07）</w:t>
      </w:r>
    </w:p>
    <w:p w14:paraId="216243C2">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2.《轨道交通调度员》（职业编码：4-02-01-06）</w:t>
      </w:r>
    </w:p>
    <w:p w14:paraId="67C39CE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3.《轨道交通信号工》（职业编码：6-29-03-10）</w:t>
      </w:r>
    </w:p>
    <w:p w14:paraId="0464DEB1">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（二）技术标准与规范</w:t>
      </w:r>
    </w:p>
    <w:p w14:paraId="3BC1AFC7">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1.《GB/T40484-2021城市轨道交通消防安全管理》</w:t>
      </w:r>
    </w:p>
    <w:p w14:paraId="0C3F1EA2">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2.《GB/T38707-2020城市轨道交通运营技术规范》</w:t>
      </w:r>
    </w:p>
    <w:p w14:paraId="048E347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3.《GB/T30012-2013城市轨道交通运营管理规范》</w:t>
      </w:r>
    </w:p>
    <w:p w14:paraId="2324DBF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4.《GBT-22486-2008城市轨道交通客运服务》</w:t>
      </w:r>
    </w:p>
    <w:p w14:paraId="0A48EF96">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5.《GB/T33668-2017地铁安全疏散规范》</w:t>
      </w:r>
    </w:p>
    <w:p w14:paraId="3D3A964A">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6.《GB/T50578-2018城市轨道交通信号工程施工质量验收标准》</w:t>
      </w:r>
    </w:p>
    <w:p w14:paraId="5F3579F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7.《GB/T25338.1-2010铁路道岔转辙机（通用技术条件）》</w:t>
      </w:r>
    </w:p>
    <w:p w14:paraId="443F72E1">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8.《GB/T12758-2004</w:t>
      </w:r>
      <w:r>
        <w:rPr>
          <w:rFonts w:hint="eastAsia" w:ascii="仿宋_GB2312" w:hAnsi="仿宋_GB2312" w:eastAsia="仿宋_GB2312" w:cs="仿宋_GB2312"/>
          <w:sz w:val="28"/>
          <w:szCs w:val="28"/>
          <w:highlight w:val="none"/>
        </w:rPr>
        <w:fldChar w:fldCharType="begin"/>
      </w:r>
      <w:r>
        <w:rPr>
          <w:rFonts w:hint="eastAsia" w:ascii="仿宋_GB2312" w:hAnsi="仿宋_GB2312" w:eastAsia="仿宋_GB2312" w:cs="仿宋_GB2312"/>
          <w:sz w:val="28"/>
          <w:szCs w:val="28"/>
          <w:highlight w:val="none"/>
        </w:rPr>
        <w:instrText xml:space="preserve"> HYPERLINK "http://222.66.139.87:8000/std-web/a/std/stdWorkFile/view?id=38331ff105fc40cebbbe52e2b5ebf2fe" \t "http://222.66.139.87:8000/std-web/a/std/stdWorkFile/_blank" </w:instrText>
      </w:r>
      <w:r>
        <w:rPr>
          <w:rFonts w:hint="eastAsia" w:ascii="仿宋_GB2312" w:hAnsi="仿宋_GB2312" w:eastAsia="仿宋_GB2312" w:cs="仿宋_GB2312"/>
          <w:sz w:val="28"/>
          <w:szCs w:val="28"/>
          <w:highlight w:val="none"/>
        </w:rPr>
        <w:fldChar w:fldCharType="separate"/>
      </w:r>
      <w:r>
        <w:rPr>
          <w:rFonts w:hint="eastAsia" w:ascii="仿宋_GB2312" w:hAnsi="仿宋_GB2312" w:eastAsia="仿宋_GB2312" w:cs="仿宋_GB2312"/>
          <w:kern w:val="0"/>
          <w:sz w:val="28"/>
          <w:szCs w:val="28"/>
          <w:highlight w:val="none"/>
        </w:rPr>
        <w:t>城市轨道交通信号系统通用技术条件</w:t>
      </w:r>
      <w:r>
        <w:rPr>
          <w:rFonts w:hint="eastAsia" w:ascii="仿宋_GB2312" w:hAnsi="仿宋_GB2312" w:eastAsia="仿宋_GB2312" w:cs="仿宋_GB2312"/>
          <w:kern w:val="0"/>
          <w:sz w:val="28"/>
          <w:szCs w:val="28"/>
          <w:highlight w:val="none"/>
        </w:rPr>
        <w:fldChar w:fldCharType="end"/>
      </w:r>
      <w:r>
        <w:rPr>
          <w:rFonts w:hint="eastAsia" w:ascii="仿宋_GB2312" w:hAnsi="仿宋_GB2312" w:eastAsia="仿宋_GB2312" w:cs="仿宋_GB2312"/>
          <w:kern w:val="0"/>
          <w:sz w:val="28"/>
          <w:szCs w:val="28"/>
          <w:highlight w:val="none"/>
        </w:rPr>
        <w:t>》</w:t>
      </w:r>
    </w:p>
    <w:p w14:paraId="4F43B08A">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9.《JT/T1218.1-2018城市轨道交通运营设备维修与更新技术规范》</w:t>
      </w:r>
    </w:p>
    <w:p w14:paraId="70C4C2F5">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10.《TB/T3242-2010LED铁路机构通用技术条件》</w:t>
      </w:r>
    </w:p>
    <w:p w14:paraId="35DE4480">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11.《城市轨道交通信号系统运营技术规范（试行）》（交通运输部令2022年第1号）</w:t>
      </w:r>
    </w:p>
    <w:p w14:paraId="1814DBF0">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12.《城市轨道交通行车组织管理办法（交运规〔2019〕14号）》</w:t>
      </w:r>
    </w:p>
    <w:p w14:paraId="331066A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13.《城市轨道交通客运组织与服务管理办法（交运规〔2019〕15号）》</w:t>
      </w:r>
    </w:p>
    <w:p w14:paraId="6EE103B9">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14.《城市轨道交通运营管理规定》（交通运输部令2018年第8号）</w:t>
      </w:r>
    </w:p>
    <w:p w14:paraId="6C70D1A8">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（三）技术技能要求</w:t>
      </w:r>
    </w:p>
    <w:p w14:paraId="120C3A42">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1.具备计算机硬件设备安装、调试和故障处理能力；</w:t>
      </w:r>
    </w:p>
    <w:p w14:paraId="2D79FE34">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2.具备城市轨道交通运营服务虚拟仿真软件的安装、调试和故障处理能力；</w:t>
      </w:r>
    </w:p>
    <w:p w14:paraId="195F530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3.具备城市轨道交通行车组织、票务设备故障处理、突发事件应急处置能力；</w:t>
      </w:r>
    </w:p>
    <w:p w14:paraId="51491D20">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4.具备轨道电路、道岔转辙设备、信号机、应答器、计轴器等信号设备的装调和故障分析处理能力；</w:t>
      </w:r>
    </w:p>
    <w:p w14:paraId="1C80C29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5.具备轨道交通信号系统电缆测试、敷设、接续及配线能力。</w:t>
      </w:r>
    </w:p>
    <w:p w14:paraId="01BC6907">
      <w:pPr>
        <w:pageBreakBefore w:val="0"/>
        <w:widowControl w:val="0"/>
        <w:kinsoku/>
        <w:wordWrap/>
        <w:overflowPunct/>
        <w:topLinePunct w:val="0"/>
        <w:bidi w:val="0"/>
        <w:adjustRightInd/>
        <w:snapToGrid w:val="0"/>
        <w:spacing w:line="560" w:lineRule="exact"/>
        <w:ind w:firstLine="446" w:firstLineChars="200"/>
        <w:textAlignment w:val="auto"/>
        <w:rPr>
          <w:rFonts w:hint="eastAsia" w:ascii="仿宋_GB2312" w:hAnsi="仿宋_GB2312" w:eastAsia="仿宋_GB2312" w:cs="仿宋_GB2312"/>
          <w:b/>
          <w:bCs/>
          <w:spacing w:val="-7"/>
          <w:sz w:val="28"/>
          <w:szCs w:val="28"/>
          <w:highlight w:val="none"/>
        </w:rPr>
      </w:pPr>
      <w:r>
        <w:rPr>
          <w:rFonts w:hint="eastAsia" w:ascii="仿宋_GB2312" w:hAnsi="仿宋_GB2312" w:eastAsia="仿宋_GB2312" w:cs="仿宋_GB2312"/>
          <w:b/>
          <w:bCs/>
          <w:spacing w:val="-29"/>
          <w:sz w:val="28"/>
          <w:szCs w:val="28"/>
          <w:highlight w:val="none"/>
          <w:lang w:val="en-US" w:eastAsia="zh-CN"/>
        </w:rPr>
        <w:t>九</w:t>
      </w:r>
      <w:r>
        <w:rPr>
          <w:rFonts w:hint="eastAsia" w:ascii="仿宋_GB2312" w:hAnsi="仿宋_GB2312" w:eastAsia="仿宋_GB2312" w:cs="仿宋_GB2312"/>
          <w:b/>
          <w:bCs/>
          <w:spacing w:val="-29"/>
          <w:sz w:val="28"/>
          <w:szCs w:val="28"/>
          <w:highlight w:val="none"/>
        </w:rPr>
        <w:t>、</w:t>
      </w:r>
      <w:r>
        <w:rPr>
          <w:rFonts w:hint="eastAsia" w:ascii="仿宋_GB2312" w:hAnsi="仿宋_GB2312" w:eastAsia="仿宋_GB2312" w:cs="仿宋_GB2312"/>
          <w:b/>
          <w:bCs/>
          <w:spacing w:val="-7"/>
          <w:sz w:val="28"/>
          <w:szCs w:val="28"/>
          <w:highlight w:val="none"/>
        </w:rPr>
        <w:t>奖项设定</w:t>
      </w:r>
    </w:p>
    <w:p w14:paraId="1344F595">
      <w:pPr>
        <w:pStyle w:val="7"/>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lang w:val="en-US" w:bidi="ar-SA"/>
        </w:rPr>
      </w:pPr>
      <w:r>
        <w:rPr>
          <w:rFonts w:hint="eastAsia" w:ascii="仿宋_GB2312" w:hAnsi="仿宋_GB2312" w:eastAsia="仿宋_GB2312" w:cs="仿宋_GB2312"/>
          <w:sz w:val="28"/>
          <w:szCs w:val="28"/>
          <w:highlight w:val="none"/>
          <w:lang w:val="en-US" w:bidi="ar-SA"/>
        </w:rPr>
        <w:t>按实际参赛人（队）数的10%、20%、30%（小数点后一位四舍五入）分设一、二、三等奖，优秀指导教师荣誉的授予以</w:t>
      </w:r>
      <w:r>
        <w:rPr>
          <w:rFonts w:hint="eastAsia" w:ascii="仿宋_GB2312" w:hAnsi="仿宋_GB2312" w:eastAsia="仿宋_GB2312" w:cs="仿宋_GB2312"/>
          <w:sz w:val="28"/>
          <w:szCs w:val="28"/>
          <w:highlight w:val="none"/>
          <w:lang w:val="en-US" w:eastAsia="zh-CN" w:bidi="ar-SA"/>
        </w:rPr>
        <w:t>兰州市</w:t>
      </w:r>
      <w:r>
        <w:rPr>
          <w:rFonts w:hint="eastAsia" w:ascii="仿宋_GB2312" w:hAnsi="仿宋_GB2312" w:eastAsia="仿宋_GB2312" w:cs="仿宋_GB2312"/>
          <w:sz w:val="28"/>
          <w:szCs w:val="28"/>
          <w:highlight w:val="none"/>
          <w:lang w:val="en-US" w:bidi="ar-SA"/>
        </w:rPr>
        <w:t>职业院校技能大赛执委会办公室公告为准，其他情况按竞赛规程总则执行。</w:t>
      </w:r>
    </w:p>
    <w:p w14:paraId="6C256CC1">
      <w:pPr>
        <w:pageBreakBefore w:val="0"/>
        <w:widowControl w:val="0"/>
        <w:kinsoku/>
        <w:wordWrap/>
        <w:overflowPunct/>
        <w:topLinePunct w:val="0"/>
        <w:bidi w:val="0"/>
        <w:adjustRightInd/>
        <w:snapToGrid w:val="0"/>
        <w:spacing w:line="560" w:lineRule="exact"/>
        <w:ind w:firstLine="562" w:firstLineChars="200"/>
        <w:textAlignment w:val="auto"/>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十、赛场预案</w:t>
      </w:r>
    </w:p>
    <w:p w14:paraId="0310A811">
      <w:pPr>
        <w:pageBreakBefore w:val="0"/>
        <w:widowControl w:val="0"/>
        <w:kinsoku/>
        <w:wordWrap/>
        <w:overflowPunct/>
        <w:topLinePunct w:val="0"/>
        <w:bidi w:val="0"/>
        <w:adjustRightInd/>
        <w:snapToGrid w:val="0"/>
        <w:spacing w:line="560" w:lineRule="exact"/>
        <w:ind w:firstLine="504"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pacing w:val="-14"/>
          <w:sz w:val="28"/>
          <w:szCs w:val="28"/>
          <w:highlight w:val="none"/>
        </w:rPr>
        <w:t>按照</w:t>
      </w:r>
      <w:r>
        <w:rPr>
          <w:rFonts w:hint="eastAsia" w:ascii="仿宋_GB2312" w:hAnsi="仿宋_GB2312" w:eastAsia="仿宋_GB2312" w:cs="仿宋_GB2312"/>
          <w:color w:val="000000"/>
          <w:spacing w:val="-14"/>
          <w:sz w:val="28"/>
          <w:szCs w:val="28"/>
          <w:highlight w:val="none"/>
        </w:rPr>
        <w:t>《</w:t>
      </w:r>
      <w:r>
        <w:rPr>
          <w:rFonts w:hint="eastAsia" w:ascii="仿宋_GB2312" w:hAnsi="仿宋_GB2312" w:eastAsia="仿宋_GB2312" w:cs="仿宋_GB2312"/>
          <w:color w:val="000000"/>
          <w:spacing w:val="-14"/>
          <w:sz w:val="28"/>
          <w:szCs w:val="28"/>
          <w:highlight w:val="none"/>
          <w:lang w:eastAsia="zh-CN"/>
        </w:rPr>
        <w:t>兰州市</w:t>
      </w:r>
      <w:r>
        <w:rPr>
          <w:rFonts w:hint="eastAsia" w:ascii="仿宋_GB2312" w:hAnsi="仿宋_GB2312" w:eastAsia="仿宋_GB2312" w:cs="仿宋_GB2312"/>
          <w:color w:val="000000"/>
          <w:spacing w:val="-14"/>
          <w:sz w:val="28"/>
          <w:szCs w:val="28"/>
          <w:highlight w:val="none"/>
        </w:rPr>
        <w:t>职业院校技能大赛工作手册》</w:t>
      </w:r>
      <w:r>
        <w:rPr>
          <w:rFonts w:hint="eastAsia" w:ascii="仿宋_GB2312" w:hAnsi="仿宋_GB2312" w:eastAsia="仿宋_GB2312" w:cs="仿宋_GB2312"/>
          <w:spacing w:val="5"/>
          <w:sz w:val="28"/>
          <w:szCs w:val="28"/>
          <w:highlight w:val="none"/>
        </w:rPr>
        <w:t>中相关制度，阐述在比赛过程中不可控但可能出现的紧急情况</w:t>
      </w:r>
      <w:r>
        <w:rPr>
          <w:rFonts w:hint="eastAsia" w:ascii="仿宋_GB2312" w:hAnsi="仿宋_GB2312" w:eastAsia="仿宋_GB2312" w:cs="仿宋_GB2312"/>
          <w:sz w:val="28"/>
          <w:szCs w:val="28"/>
          <w:highlight w:val="none"/>
        </w:rPr>
        <w:t>（如计算机卡顿、设备故障等</w:t>
      </w:r>
      <w:r>
        <w:rPr>
          <w:rFonts w:hint="eastAsia" w:ascii="仿宋_GB2312" w:hAnsi="仿宋_GB2312" w:eastAsia="仿宋_GB2312" w:cs="仿宋_GB2312"/>
          <w:spacing w:val="-44"/>
          <w:sz w:val="28"/>
          <w:szCs w:val="28"/>
          <w:highlight w:val="none"/>
        </w:rPr>
        <w:t>）</w:t>
      </w:r>
      <w:r>
        <w:rPr>
          <w:rFonts w:hint="eastAsia" w:ascii="仿宋_GB2312" w:hAnsi="仿宋_GB2312" w:eastAsia="仿宋_GB2312" w:cs="仿宋_GB2312"/>
          <w:spacing w:val="-8"/>
          <w:sz w:val="28"/>
          <w:szCs w:val="28"/>
          <w:highlight w:val="none"/>
        </w:rPr>
        <w:t>的应急预案，特别是对学生成绩产生影响的</w:t>
      </w:r>
      <w:r>
        <w:rPr>
          <w:rFonts w:hint="eastAsia" w:ascii="仿宋_GB2312" w:hAnsi="仿宋_GB2312" w:eastAsia="仿宋_GB2312" w:cs="仿宋_GB2312"/>
          <w:sz w:val="28"/>
          <w:szCs w:val="28"/>
          <w:highlight w:val="none"/>
        </w:rPr>
        <w:t>具体处理措施等。</w:t>
      </w:r>
    </w:p>
    <w:p w14:paraId="3993AAAE">
      <w:pPr>
        <w:pageBreakBefore w:val="0"/>
        <w:widowControl w:val="0"/>
        <w:kinsoku/>
        <w:wordWrap/>
        <w:overflowPunct/>
        <w:topLinePunct w:val="0"/>
        <w:bidi w:val="0"/>
        <w:adjustRightInd/>
        <w:snapToGrid w:val="0"/>
        <w:spacing w:line="560" w:lineRule="exact"/>
        <w:ind w:firstLine="562" w:firstLineChars="200"/>
        <w:textAlignment w:val="auto"/>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十</w:t>
      </w:r>
      <w:r>
        <w:rPr>
          <w:rFonts w:hint="eastAsia" w:ascii="仿宋_GB2312" w:hAnsi="仿宋_GB2312" w:eastAsia="仿宋_GB2312" w:cs="仿宋_GB2312"/>
          <w:b/>
          <w:bCs/>
          <w:sz w:val="28"/>
          <w:szCs w:val="28"/>
          <w:highlight w:val="none"/>
          <w:lang w:val="en-US" w:eastAsia="zh-CN"/>
        </w:rPr>
        <w:t>一</w:t>
      </w:r>
      <w:r>
        <w:rPr>
          <w:rFonts w:hint="eastAsia" w:ascii="仿宋_GB2312" w:hAnsi="仿宋_GB2312" w:eastAsia="仿宋_GB2312" w:cs="仿宋_GB2312"/>
          <w:b/>
          <w:bCs/>
          <w:sz w:val="28"/>
          <w:szCs w:val="28"/>
          <w:highlight w:val="none"/>
        </w:rPr>
        <w:t>、申诉与仲裁</w:t>
      </w:r>
    </w:p>
    <w:p w14:paraId="422008F6">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大赛采取二级仲裁机制。各赛项设赛项仲裁工作组，大赛执委会设仲裁委员会。各参赛队对不符合大赛和赛项规程规定的仪器、设备、工装、材料、物件、计算机软硬件、竞赛使用工具、用品，竞赛执裁、赛场管理，以及工作人员的不规范行为等，可向赛项仲裁工作组提出申诉。申诉主体为参赛队领队。</w:t>
      </w:r>
    </w:p>
    <w:p w14:paraId="0AF1E25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2、申诉启动时，领队向赛项仲裁工作组递交亲笔签字同意的书面申诉报告。申诉报告应对申诉事件的现象、发生时间、涉及人员、申诉依据等进行充分、实事求是的叙述。非书面申诉不予受理。</w:t>
      </w:r>
    </w:p>
    <w:p w14:paraId="288B6CA3">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提出申诉的时间应在竞赛结束后（选手赛场竞赛内容全部完成）2小时内，超过时效不予受理。赛项仲裁工作组在接到申诉报告后的2小时内组织复议，并及时将复议结果以书面形式告知申诉方。申诉方对复议结果仍有异议，可由领队向监督员提出申诉。监督员传达仲裁委员会的仲裁结果为最终结果。</w:t>
      </w:r>
    </w:p>
    <w:p w14:paraId="1A5B5FF4">
      <w:pPr>
        <w:pStyle w:val="7"/>
        <w:pageBreakBefore w:val="0"/>
        <w:widowControl w:val="0"/>
        <w:kinsoku/>
        <w:wordWrap/>
        <w:overflowPunct/>
        <w:topLinePunct w:val="0"/>
        <w:bidi w:val="0"/>
        <w:adjustRightInd/>
        <w:spacing w:line="560" w:lineRule="exact"/>
        <w:ind w:firstLine="560" w:firstLineChars="200"/>
        <w:jc w:val="both"/>
        <w:textAlignment w:val="auto"/>
        <w:rPr>
          <w:rFonts w:hint="eastAsia" w:ascii="仿宋_GB2312" w:hAnsi="仿宋_GB2312" w:eastAsia="仿宋_GB2312" w:cs="仿宋_GB2312"/>
          <w:sz w:val="28"/>
          <w:szCs w:val="28"/>
          <w:highlight w:val="none"/>
          <w:lang w:val="en-US" w:bidi="ar-SA"/>
        </w:rPr>
      </w:pPr>
      <w:r>
        <w:rPr>
          <w:rFonts w:hint="eastAsia" w:ascii="仿宋_GB2312" w:hAnsi="仿宋_GB2312" w:eastAsia="仿宋_GB2312" w:cs="仿宋_GB2312"/>
          <w:sz w:val="28"/>
          <w:szCs w:val="28"/>
          <w:highlight w:val="none"/>
          <w:lang w:val="en-US" w:bidi="ar-SA"/>
        </w:rPr>
        <w:t>4、申诉方不得以任何理由拒绝接受仲裁结果，不得以任何理由采取过激行为扰乱赛场秩序，仲裁结果由申诉人签收，不得代收，如在约定的时间和地点申诉人离开，视为自行放弃申诉。</w:t>
      </w:r>
    </w:p>
    <w:p w14:paraId="2F50A606">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5、申诉方可随时提出放弃申诉。</w:t>
      </w:r>
    </w:p>
    <w:p w14:paraId="5F241191">
      <w:pPr>
        <w:pageBreakBefore w:val="0"/>
        <w:widowControl w:val="0"/>
        <w:kinsoku/>
        <w:wordWrap/>
        <w:overflowPunct/>
        <w:topLinePunct w:val="0"/>
        <w:bidi w:val="0"/>
        <w:adjustRightInd/>
        <w:snapToGrid w:val="0"/>
        <w:spacing w:line="560" w:lineRule="exact"/>
        <w:ind w:firstLine="562" w:firstLineChars="200"/>
        <w:textAlignment w:val="auto"/>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十</w:t>
      </w:r>
      <w:r>
        <w:rPr>
          <w:rFonts w:hint="eastAsia" w:ascii="仿宋_GB2312" w:hAnsi="仿宋_GB2312" w:eastAsia="仿宋_GB2312" w:cs="仿宋_GB2312"/>
          <w:b/>
          <w:bCs/>
          <w:sz w:val="28"/>
          <w:szCs w:val="28"/>
          <w:highlight w:val="none"/>
          <w:lang w:val="en-US" w:eastAsia="zh-CN"/>
        </w:rPr>
        <w:t>二</w:t>
      </w:r>
      <w:r>
        <w:rPr>
          <w:rFonts w:hint="eastAsia" w:ascii="仿宋_GB2312" w:hAnsi="仿宋_GB2312" w:eastAsia="仿宋_GB2312" w:cs="仿宋_GB2312"/>
          <w:b/>
          <w:bCs/>
          <w:sz w:val="28"/>
          <w:szCs w:val="28"/>
          <w:highlight w:val="none"/>
        </w:rPr>
        <w:t>、竞赛观摩</w:t>
      </w:r>
    </w:p>
    <w:p w14:paraId="79614E67">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在大赛开始前，竞赛赛场开放，设置观摩区域，允许参赛选手及观摩人员按照规定的时间与路线，在赛事组委会及裁判人员的带领下参观熟悉赛场及设备，不得上手试操。</w:t>
      </w:r>
    </w:p>
    <w:p w14:paraId="25DCC856">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（一）现场观摩人员</w:t>
      </w:r>
    </w:p>
    <w:p w14:paraId="599A14F1">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与赛项相关的企业、学校、行业协会等专家、技术人员、指导教师、大中小学生等。</w:t>
      </w:r>
    </w:p>
    <w:p w14:paraId="06A0382A">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（二）现场观摩方案</w:t>
      </w:r>
    </w:p>
    <w:p w14:paraId="454DCC5C">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比赛开始后，观摩人员以小组为单位，在赛场引导员的引导下，有序进入赛场观摩，或者在比赛看台（观摩台等）上观摩，观摩时间原则上不超过15分钟（具体执行情况，以赛前发布会组织单位及裁判组发布为准）。</w:t>
      </w:r>
    </w:p>
    <w:p w14:paraId="16F21AEB">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（三）现场观摩纪律</w:t>
      </w:r>
    </w:p>
    <w:p w14:paraId="79DD8DB5">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1.现场观摩人员必须佩带观摩证；</w:t>
      </w:r>
    </w:p>
    <w:p w14:paraId="50DFA38A">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2.观摩时保持安静，不得相互议论、交谈，并严禁与选手进行交流；</w:t>
      </w:r>
    </w:p>
    <w:p w14:paraId="75D7E40A">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3.观摩人按照工作人员指导路线行进，观摩时不得进入选手比赛区域，不得在工位前停留；</w:t>
      </w:r>
    </w:p>
    <w:p w14:paraId="1C20C8DA">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4.观摩时不可接触设备，不可与场内裁判及工作人员交流、提问；</w:t>
      </w:r>
    </w:p>
    <w:p w14:paraId="1E6F8B1A">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5.观摩时禁止拍照，并服从赛场工作人员的指挥，不得有影响比赛的其他行为。</w:t>
      </w:r>
    </w:p>
    <w:p w14:paraId="3AC6D58A">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（四）直播观摩</w:t>
      </w:r>
    </w:p>
    <w:p w14:paraId="6217BCF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在条件及</w:t>
      </w:r>
      <w:r>
        <w:rPr>
          <w:rFonts w:hint="eastAsia" w:ascii="仿宋_GB2312" w:hAnsi="仿宋_GB2312" w:eastAsia="仿宋_GB2312" w:cs="仿宋_GB2312"/>
          <w:sz w:val="28"/>
          <w:szCs w:val="28"/>
          <w:highlight w:val="none"/>
          <w:lang w:eastAsia="zh-CN"/>
        </w:rPr>
        <w:t>兰州市</w:t>
      </w:r>
      <w:r>
        <w:rPr>
          <w:rFonts w:hint="eastAsia" w:ascii="仿宋_GB2312" w:hAnsi="仿宋_GB2312" w:eastAsia="仿宋_GB2312" w:cs="仿宋_GB2312"/>
          <w:sz w:val="28"/>
          <w:szCs w:val="28"/>
          <w:highlight w:val="none"/>
        </w:rPr>
        <w:t>职业院校技能大赛执委会办公室</w:t>
      </w:r>
      <w:r>
        <w:rPr>
          <w:rFonts w:hint="eastAsia" w:ascii="仿宋_GB2312" w:hAnsi="仿宋_GB2312" w:eastAsia="仿宋_GB2312" w:cs="仿宋_GB2312"/>
          <w:kern w:val="0"/>
          <w:sz w:val="28"/>
          <w:szCs w:val="28"/>
          <w:highlight w:val="none"/>
        </w:rPr>
        <w:t>允许的情况下，本赛项将通过直播方式进行公开观摩，便于媒体、企业代表以及院校师生等社会各界人士了解大赛。</w:t>
      </w:r>
    </w:p>
    <w:p w14:paraId="5C5686C9">
      <w:pPr>
        <w:pageBreakBefore w:val="0"/>
        <w:widowControl w:val="0"/>
        <w:kinsoku/>
        <w:wordWrap/>
        <w:overflowPunct/>
        <w:topLinePunct w:val="0"/>
        <w:bidi w:val="0"/>
        <w:adjustRightInd/>
        <w:snapToGrid w:val="0"/>
        <w:spacing w:line="560" w:lineRule="exact"/>
        <w:ind w:firstLine="562" w:firstLineChars="200"/>
        <w:textAlignment w:val="auto"/>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十</w:t>
      </w:r>
      <w:r>
        <w:rPr>
          <w:rFonts w:hint="eastAsia" w:ascii="仿宋_GB2312" w:hAnsi="仿宋_GB2312" w:eastAsia="仿宋_GB2312" w:cs="仿宋_GB2312"/>
          <w:b/>
          <w:bCs/>
          <w:sz w:val="28"/>
          <w:szCs w:val="28"/>
          <w:highlight w:val="none"/>
          <w:lang w:val="en-US" w:eastAsia="zh-CN"/>
        </w:rPr>
        <w:t>三</w:t>
      </w:r>
      <w:r>
        <w:rPr>
          <w:rFonts w:hint="eastAsia" w:ascii="仿宋_GB2312" w:hAnsi="仿宋_GB2312" w:eastAsia="仿宋_GB2312" w:cs="仿宋_GB2312"/>
          <w:b/>
          <w:bCs/>
          <w:sz w:val="28"/>
          <w:szCs w:val="28"/>
          <w:highlight w:val="none"/>
        </w:rPr>
        <w:t>、竞赛视频录制</w:t>
      </w:r>
    </w:p>
    <w:p w14:paraId="28F1A8A7">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kern w:val="0"/>
          <w:sz w:val="28"/>
          <w:szCs w:val="28"/>
          <w:highlight w:val="none"/>
        </w:rPr>
        <w:t>在大赛组委会统一安排下，对该赛项的全部过程，进行全方位的录制并宣传报道，非赛事组织方特定安排人员不得直播或录制拍摄，具体执行情况，以赛前发布会组委会及裁判组发布为准。</w:t>
      </w:r>
    </w:p>
    <w:p w14:paraId="3F453948">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（一）录制方式</w:t>
      </w:r>
    </w:p>
    <w:p w14:paraId="3668E5C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赛场内部署无盲点录像设备，实时录制并播送赛场情况。</w:t>
      </w:r>
    </w:p>
    <w:p w14:paraId="767B5CCE">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（二）录制安排</w:t>
      </w:r>
    </w:p>
    <w:p w14:paraId="432662D4">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开、闭赛式安排专人完成采访及拍摄工作，竞赛过程中安排专人保障竞赛过程直播正常运行。</w:t>
      </w:r>
    </w:p>
    <w:p w14:paraId="47D40E7F">
      <w:pPr>
        <w:pageBreakBefore w:val="0"/>
        <w:widowControl w:val="0"/>
        <w:kinsoku/>
        <w:wordWrap/>
        <w:overflowPunct/>
        <w:topLinePunct w:val="0"/>
        <w:bidi w:val="0"/>
        <w:adjustRightInd/>
        <w:spacing w:line="560" w:lineRule="exact"/>
        <w:ind w:firstLine="562" w:firstLineChars="200"/>
        <w:textAlignment w:val="auto"/>
        <w:rPr>
          <w:rFonts w:hint="eastAsia" w:ascii="仿宋_GB2312" w:hAnsi="仿宋_GB2312" w:eastAsia="仿宋_GB2312" w:cs="仿宋_GB2312"/>
          <w:b/>
          <w:bCs/>
          <w:kern w:val="0"/>
          <w:sz w:val="28"/>
          <w:szCs w:val="28"/>
          <w:highlight w:val="none"/>
        </w:rPr>
      </w:pPr>
      <w:r>
        <w:rPr>
          <w:rFonts w:hint="eastAsia" w:ascii="仿宋_GB2312" w:hAnsi="仿宋_GB2312" w:eastAsia="仿宋_GB2312" w:cs="仿宋_GB2312"/>
          <w:b/>
          <w:bCs/>
          <w:kern w:val="0"/>
          <w:sz w:val="28"/>
          <w:szCs w:val="28"/>
          <w:highlight w:val="none"/>
        </w:rPr>
        <w:t>（三）录制内容</w:t>
      </w:r>
    </w:p>
    <w:p w14:paraId="0FBEE69C">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多机位拍摄开闭幕式，制作优秀选手采访、优秀指导教师采访、裁判专家点评和企业人士采访视频资料，突出赛项的技能重点与优势特色。为宣传、仲裁、资源转化提供全面的信息资料。</w:t>
      </w:r>
    </w:p>
    <w:p w14:paraId="67EE9B47">
      <w:pPr>
        <w:pageBreakBefore w:val="0"/>
        <w:widowControl w:val="0"/>
        <w:kinsoku/>
        <w:wordWrap/>
        <w:overflowPunct/>
        <w:topLinePunct w:val="0"/>
        <w:bidi w:val="0"/>
        <w:adjustRightInd/>
        <w:snapToGrid w:val="0"/>
        <w:spacing w:line="560" w:lineRule="exact"/>
        <w:ind w:firstLine="562" w:firstLineChars="200"/>
        <w:textAlignment w:val="auto"/>
        <w:rPr>
          <w:rFonts w:hint="eastAsia" w:ascii="仿宋_GB2312" w:hAnsi="仿宋_GB2312" w:eastAsia="仿宋_GB2312" w:cs="仿宋_GB2312"/>
          <w:b/>
          <w:bCs/>
          <w:sz w:val="28"/>
          <w:szCs w:val="28"/>
          <w:highlight w:val="none"/>
        </w:rPr>
      </w:pPr>
      <w:bookmarkStart w:id="0" w:name="_GoBack"/>
      <w:r>
        <w:rPr>
          <w:rFonts w:hint="eastAsia" w:ascii="仿宋_GB2312" w:hAnsi="仿宋_GB2312" w:eastAsia="仿宋_GB2312" w:cs="仿宋_GB2312"/>
          <w:b/>
          <w:bCs/>
          <w:sz w:val="28"/>
          <w:szCs w:val="28"/>
          <w:highlight w:val="none"/>
        </w:rPr>
        <w:t>十</w:t>
      </w:r>
      <w:r>
        <w:rPr>
          <w:rFonts w:hint="eastAsia" w:ascii="仿宋_GB2312" w:hAnsi="仿宋_GB2312" w:eastAsia="仿宋_GB2312" w:cs="仿宋_GB2312"/>
          <w:b/>
          <w:bCs/>
          <w:sz w:val="28"/>
          <w:szCs w:val="28"/>
          <w:highlight w:val="none"/>
          <w:lang w:val="en-US" w:eastAsia="zh-CN"/>
        </w:rPr>
        <w:t>四</w:t>
      </w:r>
      <w:r>
        <w:rPr>
          <w:rFonts w:hint="eastAsia" w:ascii="仿宋_GB2312" w:hAnsi="仿宋_GB2312" w:eastAsia="仿宋_GB2312" w:cs="仿宋_GB2312"/>
          <w:b/>
          <w:bCs/>
          <w:sz w:val="28"/>
          <w:szCs w:val="28"/>
          <w:highlight w:val="none"/>
        </w:rPr>
        <w:t>、竞赛须知</w:t>
      </w:r>
    </w:p>
    <w:bookmarkEnd w:id="0"/>
    <w:p w14:paraId="691DE00A">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（一）参赛队须知</w:t>
      </w:r>
    </w:p>
    <w:p w14:paraId="4902352C">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1.参赛队名称统一使用规定的地区代表队名称，不使用学校或其他组织、团体名称。</w:t>
      </w:r>
    </w:p>
    <w:p w14:paraId="45C4B17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2.参赛队员在报名获得审核确认后，原则上不再更换，如在备赛过程中，队员因故不能参赛，所在</w:t>
      </w:r>
      <w:r>
        <w:rPr>
          <w:rFonts w:hint="eastAsia" w:ascii="仿宋_GB2312" w:hAnsi="仿宋_GB2312" w:eastAsia="仿宋_GB2312" w:cs="仿宋_GB2312"/>
          <w:kern w:val="0"/>
          <w:sz w:val="28"/>
          <w:szCs w:val="28"/>
          <w:highlight w:val="none"/>
          <w:lang w:val="en-US" w:eastAsia="zh-CN"/>
        </w:rPr>
        <w:t>市</w:t>
      </w:r>
      <w:r>
        <w:rPr>
          <w:rFonts w:hint="eastAsia" w:ascii="仿宋_GB2312" w:hAnsi="仿宋_GB2312" w:eastAsia="仿宋_GB2312" w:cs="仿宋_GB2312"/>
          <w:kern w:val="0"/>
          <w:sz w:val="28"/>
          <w:szCs w:val="28"/>
          <w:highlight w:val="none"/>
        </w:rPr>
        <w:t>教育主管部门需出具书面说明并按相关规定补充人员并接受审核；竞赛开始后，参赛队不得更换参赛队员。</w:t>
      </w:r>
    </w:p>
    <w:p w14:paraId="0D0FD87E">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3.各学校组织代表队时，须安排为参赛选手购买大赛期间的人身意外伤害保险。</w:t>
      </w:r>
    </w:p>
    <w:p w14:paraId="62575462">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4.参赛队按照大赛赛程安排凭大赛组委会颁发的参赛证和有效身份证件参加比赛及相关活动。参赛队员统一着装，须符合安全生产及竞赛要求。</w:t>
      </w:r>
    </w:p>
    <w:p w14:paraId="26400B7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5.参赛队员应自觉遵守赛场纪律，服从裁判、听从指挥、文明竞赛；持证进入赛场，禁止将通讯工具、自编电子或文字资料带入赛场。</w:t>
      </w:r>
    </w:p>
    <w:p w14:paraId="6DD0F030">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6.组委会统一安排各参赛队在比赛前一天进入赛场熟悉环境情况。</w:t>
      </w:r>
    </w:p>
    <w:p w14:paraId="2116FDD1">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7.参赛队不能使用自带软件及自编资料等不符合规定的资料、工具、文具用品、食品等进入赛场；统一使用赛场提供的竞赛设备、设备附件和工具、技术资料等，技能大赛统一使用相同版本的软件及文字、表格处理等软件。</w:t>
      </w:r>
    </w:p>
    <w:p w14:paraId="0DD9C9E7">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8.比赛过程中，参赛选手须严格遵守操作规程和相关准则，保证设备及人身安全，并接受裁判员的监督和警示；若因设备故障导致选手中断或终止比赛，由赛项裁判长视具体情况做出裁决。</w:t>
      </w:r>
    </w:p>
    <w:p w14:paraId="17F7FC9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9.在比赛过程中，参赛选手由于操作失误导致设备不能正常工作，或造成安全事故不能进行比赛的，将被终止比赛。</w:t>
      </w:r>
    </w:p>
    <w:p w14:paraId="1779ADA1">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10.在比赛过程中，各参赛选手限定在自己的工作区域和岗位完成比赛任务。</w:t>
      </w:r>
    </w:p>
    <w:p w14:paraId="75FD0669">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11.若参赛队欲提前结束比赛，应向裁判员举手示意，比赛终止时间由裁判员记录，参赛队结束比赛后不得再进行任何操作。</w:t>
      </w:r>
    </w:p>
    <w:p w14:paraId="0B2BC331">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12.本规则没有规定的行为，裁判组有权做出裁决。在有争议的情况下，仲裁工作组的裁决是最终裁决，任何媒体资料都不做参考。</w:t>
      </w:r>
    </w:p>
    <w:p w14:paraId="4DD6114E">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（二）指导教师须知</w:t>
      </w:r>
    </w:p>
    <w:p w14:paraId="5CAA02D6">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1.做好赛前抽签工作，确认比赛出场顺序，协助大赛承办方组织好本单位比赛选手的各项赛事相关事宜。</w:t>
      </w:r>
    </w:p>
    <w:p w14:paraId="7AB86596">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2.做好本单位比赛选手的业务辅导、心理疏导和思想引导工作，对参赛选手及比赛过程报以平和、包容的心态，共同维护竞赛秩序。</w:t>
      </w:r>
    </w:p>
    <w:p w14:paraId="181FAAFC">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3.自觉遵守竞赛规则，尊重和支持裁判工作，不随意进入比赛现场及其他禁止入内的区域，确保比赛进程的公平、公正、顺畅、高效。</w:t>
      </w:r>
    </w:p>
    <w:p w14:paraId="3CB3D27A">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4.各参赛队要坚决执行比赛的各项规定，加强对参赛人员的管理，做好赛前准备工作，督促选手带好证件和要求自带的工具、材料等。</w:t>
      </w:r>
    </w:p>
    <w:p w14:paraId="488E5673">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5.当本单位参赛选手对比赛进程中出现异常或疑问，应及时了解情况，客观做出判断，并做好选手的安抚工作，经内部进行协商，认为有必要时可在规定时限内向赛项仲裁工作组反映情况或提出书面仲裁申请。</w:t>
      </w:r>
    </w:p>
    <w:p w14:paraId="65DF3FA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6.参赛选手因申诉或对处理意见不服而停止比赛，以弃权处理。</w:t>
      </w:r>
    </w:p>
    <w:p w14:paraId="7AC63F63">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7.指导教师应认真研究和掌握本赛项比赛的技术规则和赛场要求，指导选手做好赛前技术准备和应赛准备。</w:t>
      </w:r>
    </w:p>
    <w:p w14:paraId="380CF0EC">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8.指导教师应在赛后做好技术总结和工作总结。</w:t>
      </w:r>
    </w:p>
    <w:p w14:paraId="05E56B49">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（三）竞赛选手须知</w:t>
      </w:r>
    </w:p>
    <w:p w14:paraId="0698D4A5">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1.参赛选手应严格遵守赛场规章、操作规范，保证人身及设备安全，接受裁判员的监督和警示，文明竞赛。</w:t>
      </w:r>
    </w:p>
    <w:p w14:paraId="47333E52">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lang w:eastAsia="zh-CN"/>
        </w:rPr>
      </w:pPr>
      <w:r>
        <w:rPr>
          <w:rFonts w:hint="eastAsia" w:ascii="仿宋_GB2312" w:hAnsi="仿宋_GB2312" w:eastAsia="仿宋_GB2312" w:cs="仿宋_GB2312"/>
          <w:kern w:val="0"/>
          <w:sz w:val="28"/>
          <w:szCs w:val="28"/>
          <w:highlight w:val="none"/>
        </w:rPr>
        <w:t>2.参赛选手凭证入场，在赛场内操作期间要始终佩带参赛凭证以备检查</w:t>
      </w:r>
      <w:r>
        <w:rPr>
          <w:rFonts w:hint="eastAsia" w:ascii="仿宋_GB2312" w:hAnsi="仿宋_GB2312" w:eastAsia="仿宋_GB2312" w:cs="仿宋_GB2312"/>
          <w:kern w:val="0"/>
          <w:sz w:val="28"/>
          <w:szCs w:val="28"/>
          <w:highlight w:val="none"/>
          <w:lang w:eastAsia="zh-CN"/>
        </w:rPr>
        <w:t>。</w:t>
      </w:r>
    </w:p>
    <w:p w14:paraId="5964D9CD">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3.竞赛期间不准携带任何通讯工具、移动存储器、照相器材等与竞赛无关的用品，否则取消该队参赛资格。</w:t>
      </w:r>
    </w:p>
    <w:p w14:paraId="0D61B7FD">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4.尊重裁判和赛场工作人员，自觉遵守赛场纪律和秩序。</w:t>
      </w:r>
    </w:p>
    <w:p w14:paraId="7504AD98">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入场后，选手必须确认材料、工具、量具等是否齐全，开赛信号发出前不能启动设备；竞赛过程中，各竞赛队自行确定分工、工作程序和时间安排，在赛位上完成竞赛项目，严禁作弊行为；竞赛食品、饮水等由赛场统一提供。</w:t>
      </w:r>
    </w:p>
    <w:p w14:paraId="34BB6940">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6.凡在竞赛期间提前离开的选手作退赛处理。</w:t>
      </w:r>
    </w:p>
    <w:p w14:paraId="3AB95702">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7.参赛选手须严格遵守安全操作规范，确保人身及设备安全。竞赛期间，若因选手个人原因出现安全事件或设备故障不能进行竞赛的，由裁判组裁定其竞赛结束，保留竞赛资格，累计其有效竞赛成绩；非选手个人原因出现的设备故障，由裁判组做出裁决，可视具体情况给选手补足排除故障耗费时间，并由参赛队长签字确认。</w:t>
      </w:r>
    </w:p>
    <w:p w14:paraId="24030FCD">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8.参赛选手赛场外的管理由各参赛队领队和指导教师负责。</w:t>
      </w:r>
    </w:p>
    <w:p w14:paraId="25F87DD7">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9.参赛队欲提前结束竞赛，应向现场裁判举手示意，竞赛所用时间由现场裁判记录。结束竞赛后参赛队不能进行任何与竞赛相关的操作。</w:t>
      </w:r>
    </w:p>
    <w:p w14:paraId="24DD0509">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10.各竞赛队按照大赛要求和赛题要求提交递交竞赛成果，禁止在竞赛成果上做任何与竞赛无关的记号。</w:t>
      </w:r>
    </w:p>
    <w:p w14:paraId="31B8287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11.竞赛操作结束后，参赛队要确认成功提交竞赛要求的文件，裁判员在比赛结果的规定位置做标记，并与参赛队一起签字确认。</w:t>
      </w:r>
    </w:p>
    <w:p w14:paraId="7714EDFD">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12.竞赛期间，选手应注意保持工作环境整洁及设备摆放整齐，符合企业生产“5S”（即整理、整顿、清扫、清洁和素养）的原则，对于不符合作业标准的，裁判员有权根据评分规则酌情扣分。</w:t>
      </w:r>
    </w:p>
    <w:p w14:paraId="12E613F0">
      <w:pPr>
        <w:pageBreakBefore w:val="0"/>
        <w:widowControl w:val="0"/>
        <w:kinsoku/>
        <w:wordWrap/>
        <w:overflowPunct/>
        <w:topLinePunct w:val="0"/>
        <w:bidi w:val="0"/>
        <w:adjustRightInd/>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（四）工作人员须知</w:t>
      </w:r>
    </w:p>
    <w:p w14:paraId="3E31968E">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1.服从赛项组委会的领导，遵守职业道德、坚持原则、按章办事，切实做到严格认真，公正准确，文明执裁。</w:t>
      </w:r>
    </w:p>
    <w:p w14:paraId="0076CCF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2.以高度负责的精神、严肃认真的态度和严谨细致的作风做好工作。熟悉并认真执行竞赛规则，严格按照工作程序和有关规定办事。</w:t>
      </w:r>
    </w:p>
    <w:p w14:paraId="20C8ACE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3.佩戴工作人员胸卡，穿着工作人员工装，仪表整洁，语言举止文明礼貌，接受仲裁工作组成员和参赛人员的监督。</w:t>
      </w:r>
    </w:p>
    <w:p w14:paraId="77AEBF45">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4.须参加赛项组委会的赛前工作培训。</w:t>
      </w:r>
    </w:p>
    <w:p w14:paraId="1C3DC0ED">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5.竞赛期间，保守竞赛秘密，不得向各参赛队领队、指导教师及选手泄露、暗示大赛秘密。</w:t>
      </w:r>
    </w:p>
    <w:p w14:paraId="29FA7672">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6.严格执行竞赛纪律，除应向参赛选手交代的竞赛须知外，不得向参赛选手暗示解答与竞赛有关的问题，更不得向选手进行指导或提供方便。</w:t>
      </w:r>
    </w:p>
    <w:p w14:paraId="0E3E11EE">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7.实行回避制度，不得与参赛选手及相关人员接触或联系。</w:t>
      </w:r>
    </w:p>
    <w:p w14:paraId="471C865B">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8.坚守岗位，不迟到，不早退。</w:t>
      </w:r>
    </w:p>
    <w:p w14:paraId="325AEA5C">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9.监督选手遵守竞赛规则和安全操作规程的情况，不得无故干扰选手竞赛，正确处理竞赛中出现的问题。</w:t>
      </w:r>
    </w:p>
    <w:p w14:paraId="6B11819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10.遵循公平、公正原则，维护赛场纪律，如实填写赛场记录。</w:t>
      </w:r>
    </w:p>
    <w:p w14:paraId="086E5EBF">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kern w:val="0"/>
          <w:sz w:val="28"/>
          <w:szCs w:val="28"/>
          <w:highlight w:val="none"/>
        </w:rPr>
      </w:pPr>
      <w:r>
        <w:rPr>
          <w:rFonts w:hint="eastAsia" w:ascii="仿宋_GB2312" w:hAnsi="仿宋_GB2312" w:eastAsia="仿宋_GB2312" w:cs="仿宋_GB2312"/>
          <w:kern w:val="0"/>
          <w:sz w:val="28"/>
          <w:szCs w:val="28"/>
          <w:highlight w:val="none"/>
        </w:rPr>
        <w:t>11.遇安全突发事件，按照工作预案及时组织疏散，确保人员安全。</w:t>
      </w:r>
    </w:p>
    <w:p w14:paraId="2AE09216">
      <w:pPr>
        <w:pageBreakBefore w:val="0"/>
        <w:widowControl w:val="0"/>
        <w:kinsoku/>
        <w:wordWrap/>
        <w:overflowPunct/>
        <w:topLinePunct w:val="0"/>
        <w:bidi w:val="0"/>
        <w:adjustRightInd/>
        <w:snapToGrid w:val="0"/>
        <w:spacing w:line="560" w:lineRule="exact"/>
        <w:ind w:firstLine="560" w:firstLineChars="200"/>
        <w:textAlignment w:val="auto"/>
        <w:rPr>
          <w:rFonts w:hint="eastAsia" w:ascii="仿宋_GB2312" w:hAnsi="仿宋_GB2312" w:eastAsia="仿宋_GB2312" w:cs="仿宋_GB2312"/>
          <w:sz w:val="28"/>
          <w:szCs w:val="28"/>
          <w:highlight w:val="none"/>
        </w:rPr>
      </w:pPr>
      <w:r>
        <w:rPr>
          <w:rFonts w:hint="eastAsia" w:ascii="仿宋_GB2312" w:hAnsi="仿宋_GB2312" w:eastAsia="仿宋_GB2312" w:cs="仿宋_GB2312"/>
          <w:kern w:val="0"/>
          <w:sz w:val="28"/>
          <w:szCs w:val="28"/>
          <w:highlight w:val="none"/>
        </w:rPr>
        <w:t>12.未经同意不得擅自发布关于比赛的言论，不得私自接受采访。</w:t>
      </w:r>
    </w:p>
    <w:sectPr>
      <w:footerReference r:id="rId3" w:type="default"/>
      <w:pgSz w:w="11906" w:h="16838"/>
      <w:pgMar w:top="1418" w:right="1588" w:bottom="1247" w:left="1588"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49D03F6A-8EC0-4A23-B98E-3B8339852E95}"/>
  </w:font>
  <w:font w:name="黑体">
    <w:panose1 w:val="02010609060101010101"/>
    <w:charset w:val="86"/>
    <w:family w:val="auto"/>
    <w:pitch w:val="default"/>
    <w:sig w:usb0="800002BF" w:usb1="38CF7CFA" w:usb2="00000016" w:usb3="00000000" w:csb0="00040001" w:csb1="00000000"/>
    <w:embedRegular r:id="rId2" w:fontKey="{0B6230B9-F742-473E-8241-24D21494E3A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embedRegular r:id="rId3" w:fontKey="{78A4512E-63BA-4424-B73A-0D0BFD863F60}"/>
  </w:font>
  <w:font w:name="方正小标宋简体">
    <w:panose1 w:val="02010601030101010101"/>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856F0C62-CA93-4DB6-8673-E41D1AE3FB3D}"/>
  </w:font>
  <w:font w:name="方正仿宋_GB2312">
    <w:panose1 w:val="02000000000000000000"/>
    <w:charset w:val="86"/>
    <w:family w:val="auto"/>
    <w:pitch w:val="default"/>
    <w:sig w:usb0="A00002BF" w:usb1="184F6CFA" w:usb2="00000012"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79B221">
    <w:pPr>
      <w:pStyle w:val="11"/>
      <w:jc w:val="center"/>
      <w:rPr>
        <w:sz w:val="22"/>
        <w:szCs w:val="22"/>
      </w:rPr>
    </w:pPr>
    <w:r>
      <w:rPr>
        <w:sz w:val="22"/>
        <w:szCs w:val="22"/>
      </w:rPr>
      <w:fldChar w:fldCharType="begin"/>
    </w:r>
    <w:r>
      <w:rPr>
        <w:sz w:val="22"/>
        <w:szCs w:val="22"/>
      </w:rPr>
      <w:instrText xml:space="preserve">PAGE   \* MERGEFORMAT</w:instrText>
    </w:r>
    <w:r>
      <w:rPr>
        <w:sz w:val="22"/>
        <w:szCs w:val="22"/>
      </w:rPr>
      <w:fldChar w:fldCharType="separate"/>
    </w:r>
    <w:r>
      <w:rPr>
        <w:sz w:val="22"/>
        <w:szCs w:val="22"/>
        <w:lang w:val="zh-CN"/>
      </w:rPr>
      <w:t>-</w:t>
    </w:r>
    <w:r>
      <w:rPr>
        <w:sz w:val="22"/>
        <w:szCs w:val="22"/>
      </w:rPr>
      <w:t xml:space="preserve"> 1 -</w:t>
    </w:r>
    <w:r>
      <w:rPr>
        <w:sz w:val="22"/>
        <w:szCs w:val="22"/>
      </w:rPr>
      <w:fldChar w:fldCharType="end"/>
    </w:r>
  </w:p>
  <w:p w14:paraId="6B10FAC6">
    <w:pPr>
      <w:pStyle w:val="11"/>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1824548"/>
    <w:multiLevelType w:val="singleLevel"/>
    <w:tmpl w:val="C1824548"/>
    <w:lvl w:ilvl="0" w:tentative="0">
      <w:start w:val="6"/>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1"/>
  <w:bordersDoNotSurroundFooter w:val="1"/>
  <w:documentProtection w:enforcement="0"/>
  <w:defaultTabStop w:val="420"/>
  <w:doNotHyphenateCaps/>
  <w:drawingGridHorizontalSpacing w:val="105"/>
  <w:drawingGridVerticalSpacing w:val="156"/>
  <w:displayHorizontalDrawingGridEvery w:val="2"/>
  <w:displayVerticalDrawingGridEvery w:val="2"/>
  <w:noPunctuationKerning w:val="1"/>
  <w:characterSpacingControl w:val="compressPunctuation"/>
  <w:noLineBreaksAfter w:lang="zh-CN" w:val="$([{£¥·‘“〈《「『【〔〖〝﹙﹛﹝＄（．［｛￡￥"/>
  <w:noLineBreaksBefore w:lang="zh-CN" w:val="!%),.:;&gt;?]}¢¨°·ˇˉ―‖’”…‰′″›℃∶、。〃〉》」』】〕〗〞︶︺︾﹀﹄﹚﹜﹞！＂％＇），．：；？］｀｜｝～￠"/>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VmZjJlYWM3MDdjMWIxYWVkNWZlYzI0M2I1OTM4Y2MifQ=="/>
  </w:docVars>
  <w:rsids>
    <w:rsidRoot w:val="006232FD"/>
    <w:rsid w:val="00005A41"/>
    <w:rsid w:val="000066E2"/>
    <w:rsid w:val="000068B9"/>
    <w:rsid w:val="0001294A"/>
    <w:rsid w:val="00012E53"/>
    <w:rsid w:val="000205E7"/>
    <w:rsid w:val="00021F3D"/>
    <w:rsid w:val="0002370A"/>
    <w:rsid w:val="00045ED4"/>
    <w:rsid w:val="00047928"/>
    <w:rsid w:val="000527F6"/>
    <w:rsid w:val="00055954"/>
    <w:rsid w:val="0006221E"/>
    <w:rsid w:val="000635F9"/>
    <w:rsid w:val="000768BF"/>
    <w:rsid w:val="00081163"/>
    <w:rsid w:val="000815E9"/>
    <w:rsid w:val="00084250"/>
    <w:rsid w:val="00085C7A"/>
    <w:rsid w:val="00086619"/>
    <w:rsid w:val="00091528"/>
    <w:rsid w:val="00093AFC"/>
    <w:rsid w:val="000946A1"/>
    <w:rsid w:val="000978F6"/>
    <w:rsid w:val="000A1DA4"/>
    <w:rsid w:val="000A2F57"/>
    <w:rsid w:val="000B272C"/>
    <w:rsid w:val="000B3640"/>
    <w:rsid w:val="000C6B53"/>
    <w:rsid w:val="000D0C37"/>
    <w:rsid w:val="000D1565"/>
    <w:rsid w:val="000E12D9"/>
    <w:rsid w:val="000E4B74"/>
    <w:rsid w:val="000E536F"/>
    <w:rsid w:val="000E58AF"/>
    <w:rsid w:val="000E65F9"/>
    <w:rsid w:val="000F2C38"/>
    <w:rsid w:val="000F6593"/>
    <w:rsid w:val="001008FF"/>
    <w:rsid w:val="00100A52"/>
    <w:rsid w:val="001019A4"/>
    <w:rsid w:val="00105A24"/>
    <w:rsid w:val="00111D62"/>
    <w:rsid w:val="001167E6"/>
    <w:rsid w:val="001175A4"/>
    <w:rsid w:val="00117626"/>
    <w:rsid w:val="00122E0F"/>
    <w:rsid w:val="0012404C"/>
    <w:rsid w:val="001306B3"/>
    <w:rsid w:val="00133474"/>
    <w:rsid w:val="00134B0B"/>
    <w:rsid w:val="00140362"/>
    <w:rsid w:val="00142D9F"/>
    <w:rsid w:val="001468CB"/>
    <w:rsid w:val="00150ABC"/>
    <w:rsid w:val="00150D5E"/>
    <w:rsid w:val="0015599E"/>
    <w:rsid w:val="001559E6"/>
    <w:rsid w:val="001565E4"/>
    <w:rsid w:val="00166689"/>
    <w:rsid w:val="00176442"/>
    <w:rsid w:val="0018640C"/>
    <w:rsid w:val="00193EF3"/>
    <w:rsid w:val="001A1BE0"/>
    <w:rsid w:val="001A69C1"/>
    <w:rsid w:val="001C4E6C"/>
    <w:rsid w:val="001E47C5"/>
    <w:rsid w:val="001E5D17"/>
    <w:rsid w:val="001F7CE0"/>
    <w:rsid w:val="00200A96"/>
    <w:rsid w:val="002139BB"/>
    <w:rsid w:val="00216B2E"/>
    <w:rsid w:val="00216F17"/>
    <w:rsid w:val="002173F5"/>
    <w:rsid w:val="00217D9F"/>
    <w:rsid w:val="002346B7"/>
    <w:rsid w:val="00240ED0"/>
    <w:rsid w:val="0024321C"/>
    <w:rsid w:val="00247510"/>
    <w:rsid w:val="002649DA"/>
    <w:rsid w:val="00271694"/>
    <w:rsid w:val="00272C7F"/>
    <w:rsid w:val="00273C40"/>
    <w:rsid w:val="00293A32"/>
    <w:rsid w:val="002A07FE"/>
    <w:rsid w:val="002A1EC6"/>
    <w:rsid w:val="002A5EFE"/>
    <w:rsid w:val="002B5129"/>
    <w:rsid w:val="002B7368"/>
    <w:rsid w:val="002B7EE6"/>
    <w:rsid w:val="002C11EE"/>
    <w:rsid w:val="002C60B3"/>
    <w:rsid w:val="002C7786"/>
    <w:rsid w:val="002D014C"/>
    <w:rsid w:val="002D0356"/>
    <w:rsid w:val="002E1F3C"/>
    <w:rsid w:val="002E41E9"/>
    <w:rsid w:val="002F2B3B"/>
    <w:rsid w:val="003000D9"/>
    <w:rsid w:val="00306F5B"/>
    <w:rsid w:val="003116FD"/>
    <w:rsid w:val="003137F5"/>
    <w:rsid w:val="00322A78"/>
    <w:rsid w:val="00330A93"/>
    <w:rsid w:val="00345CE6"/>
    <w:rsid w:val="00350B30"/>
    <w:rsid w:val="00365FB5"/>
    <w:rsid w:val="00370323"/>
    <w:rsid w:val="00374B67"/>
    <w:rsid w:val="0037629D"/>
    <w:rsid w:val="00382533"/>
    <w:rsid w:val="003852C3"/>
    <w:rsid w:val="0039501B"/>
    <w:rsid w:val="003A1C11"/>
    <w:rsid w:val="003A7520"/>
    <w:rsid w:val="003A7600"/>
    <w:rsid w:val="003B0FAA"/>
    <w:rsid w:val="003B4D92"/>
    <w:rsid w:val="003B533E"/>
    <w:rsid w:val="003C1253"/>
    <w:rsid w:val="003C5825"/>
    <w:rsid w:val="003C6B09"/>
    <w:rsid w:val="003D07A1"/>
    <w:rsid w:val="003D2E9B"/>
    <w:rsid w:val="003D6602"/>
    <w:rsid w:val="003E3FFB"/>
    <w:rsid w:val="003F11BF"/>
    <w:rsid w:val="0040349F"/>
    <w:rsid w:val="00410069"/>
    <w:rsid w:val="00414199"/>
    <w:rsid w:val="00422BBF"/>
    <w:rsid w:val="00424E67"/>
    <w:rsid w:val="00426077"/>
    <w:rsid w:val="00426BF1"/>
    <w:rsid w:val="00437101"/>
    <w:rsid w:val="004425DB"/>
    <w:rsid w:val="00442A99"/>
    <w:rsid w:val="00443DD4"/>
    <w:rsid w:val="0044600D"/>
    <w:rsid w:val="00447C4E"/>
    <w:rsid w:val="00471A52"/>
    <w:rsid w:val="00473C8F"/>
    <w:rsid w:val="004753B4"/>
    <w:rsid w:val="0048011C"/>
    <w:rsid w:val="004853E7"/>
    <w:rsid w:val="00486C31"/>
    <w:rsid w:val="00490519"/>
    <w:rsid w:val="00493974"/>
    <w:rsid w:val="004A0A05"/>
    <w:rsid w:val="004A76A0"/>
    <w:rsid w:val="004B282A"/>
    <w:rsid w:val="004B641D"/>
    <w:rsid w:val="004C0ABD"/>
    <w:rsid w:val="004C6FF8"/>
    <w:rsid w:val="004D1309"/>
    <w:rsid w:val="004D6874"/>
    <w:rsid w:val="004D7968"/>
    <w:rsid w:val="004E060E"/>
    <w:rsid w:val="004E0E08"/>
    <w:rsid w:val="004F50A6"/>
    <w:rsid w:val="005041B2"/>
    <w:rsid w:val="005042B5"/>
    <w:rsid w:val="00511BAE"/>
    <w:rsid w:val="005142C6"/>
    <w:rsid w:val="00522805"/>
    <w:rsid w:val="00524F0A"/>
    <w:rsid w:val="00526FCA"/>
    <w:rsid w:val="00532981"/>
    <w:rsid w:val="0053630C"/>
    <w:rsid w:val="00540AE7"/>
    <w:rsid w:val="0054321A"/>
    <w:rsid w:val="00543774"/>
    <w:rsid w:val="00545943"/>
    <w:rsid w:val="0054620B"/>
    <w:rsid w:val="00550C25"/>
    <w:rsid w:val="0056130C"/>
    <w:rsid w:val="005615D5"/>
    <w:rsid w:val="00563B25"/>
    <w:rsid w:val="0057644B"/>
    <w:rsid w:val="00593E67"/>
    <w:rsid w:val="005A3C40"/>
    <w:rsid w:val="005A5C83"/>
    <w:rsid w:val="005B0FE2"/>
    <w:rsid w:val="005B1FA4"/>
    <w:rsid w:val="005B302F"/>
    <w:rsid w:val="005D130A"/>
    <w:rsid w:val="005D34A6"/>
    <w:rsid w:val="005E2B07"/>
    <w:rsid w:val="005E38B5"/>
    <w:rsid w:val="005E648D"/>
    <w:rsid w:val="006021E3"/>
    <w:rsid w:val="00602777"/>
    <w:rsid w:val="00604C16"/>
    <w:rsid w:val="00606004"/>
    <w:rsid w:val="00610798"/>
    <w:rsid w:val="00611567"/>
    <w:rsid w:val="00611F3E"/>
    <w:rsid w:val="00620B9E"/>
    <w:rsid w:val="006232FD"/>
    <w:rsid w:val="006233C8"/>
    <w:rsid w:val="006313F1"/>
    <w:rsid w:val="00632E70"/>
    <w:rsid w:val="0064240B"/>
    <w:rsid w:val="006455C1"/>
    <w:rsid w:val="00652089"/>
    <w:rsid w:val="00654B93"/>
    <w:rsid w:val="00656C57"/>
    <w:rsid w:val="0066058D"/>
    <w:rsid w:val="00661227"/>
    <w:rsid w:val="00661A15"/>
    <w:rsid w:val="0066745C"/>
    <w:rsid w:val="006869B9"/>
    <w:rsid w:val="00691F2C"/>
    <w:rsid w:val="00694F1F"/>
    <w:rsid w:val="006A09C6"/>
    <w:rsid w:val="006A10C6"/>
    <w:rsid w:val="006A582C"/>
    <w:rsid w:val="006B2363"/>
    <w:rsid w:val="006B4CDF"/>
    <w:rsid w:val="006C0E65"/>
    <w:rsid w:val="006E2DA2"/>
    <w:rsid w:val="006F3051"/>
    <w:rsid w:val="006F5808"/>
    <w:rsid w:val="006F7A4D"/>
    <w:rsid w:val="007002CF"/>
    <w:rsid w:val="007102B3"/>
    <w:rsid w:val="00710EDF"/>
    <w:rsid w:val="00711381"/>
    <w:rsid w:val="00712B0F"/>
    <w:rsid w:val="007149F9"/>
    <w:rsid w:val="0071543B"/>
    <w:rsid w:val="0072062E"/>
    <w:rsid w:val="00730BB9"/>
    <w:rsid w:val="0073699C"/>
    <w:rsid w:val="0074114E"/>
    <w:rsid w:val="007420E9"/>
    <w:rsid w:val="00743983"/>
    <w:rsid w:val="0074532D"/>
    <w:rsid w:val="0075400A"/>
    <w:rsid w:val="00754926"/>
    <w:rsid w:val="00761218"/>
    <w:rsid w:val="00761FA1"/>
    <w:rsid w:val="00763DFB"/>
    <w:rsid w:val="007662B8"/>
    <w:rsid w:val="00775B2A"/>
    <w:rsid w:val="00777F82"/>
    <w:rsid w:val="0078091E"/>
    <w:rsid w:val="00785071"/>
    <w:rsid w:val="00794CE3"/>
    <w:rsid w:val="007979EB"/>
    <w:rsid w:val="007B01CD"/>
    <w:rsid w:val="007B4900"/>
    <w:rsid w:val="007C2769"/>
    <w:rsid w:val="007C5C66"/>
    <w:rsid w:val="007C62D7"/>
    <w:rsid w:val="007D09EA"/>
    <w:rsid w:val="007E48F6"/>
    <w:rsid w:val="007E76BD"/>
    <w:rsid w:val="007F287C"/>
    <w:rsid w:val="008003E5"/>
    <w:rsid w:val="0080095F"/>
    <w:rsid w:val="008012F9"/>
    <w:rsid w:val="0080718E"/>
    <w:rsid w:val="0081104B"/>
    <w:rsid w:val="0081714E"/>
    <w:rsid w:val="00820FD1"/>
    <w:rsid w:val="008225AC"/>
    <w:rsid w:val="00823614"/>
    <w:rsid w:val="00824A98"/>
    <w:rsid w:val="00834FB9"/>
    <w:rsid w:val="00835CAD"/>
    <w:rsid w:val="00837F2D"/>
    <w:rsid w:val="0084271A"/>
    <w:rsid w:val="00843A7C"/>
    <w:rsid w:val="008524E5"/>
    <w:rsid w:val="00860523"/>
    <w:rsid w:val="00862359"/>
    <w:rsid w:val="00867CB0"/>
    <w:rsid w:val="00880A27"/>
    <w:rsid w:val="0088101F"/>
    <w:rsid w:val="00882A86"/>
    <w:rsid w:val="008A0A5C"/>
    <w:rsid w:val="008A279C"/>
    <w:rsid w:val="008A7E76"/>
    <w:rsid w:val="008B2C3F"/>
    <w:rsid w:val="008B5131"/>
    <w:rsid w:val="008B6CA8"/>
    <w:rsid w:val="008D0B47"/>
    <w:rsid w:val="008E1AF5"/>
    <w:rsid w:val="008F7887"/>
    <w:rsid w:val="009049BC"/>
    <w:rsid w:val="00916E36"/>
    <w:rsid w:val="00916E37"/>
    <w:rsid w:val="00920D3D"/>
    <w:rsid w:val="00920DB0"/>
    <w:rsid w:val="0092193C"/>
    <w:rsid w:val="009223DA"/>
    <w:rsid w:val="00925DC7"/>
    <w:rsid w:val="009341DB"/>
    <w:rsid w:val="0094214B"/>
    <w:rsid w:val="00945389"/>
    <w:rsid w:val="00946649"/>
    <w:rsid w:val="009476ED"/>
    <w:rsid w:val="00954B45"/>
    <w:rsid w:val="009556BC"/>
    <w:rsid w:val="00957B18"/>
    <w:rsid w:val="0096396D"/>
    <w:rsid w:val="00970D62"/>
    <w:rsid w:val="00977E89"/>
    <w:rsid w:val="00980C03"/>
    <w:rsid w:val="00983B88"/>
    <w:rsid w:val="009853A7"/>
    <w:rsid w:val="00994BC4"/>
    <w:rsid w:val="0099503F"/>
    <w:rsid w:val="009955FF"/>
    <w:rsid w:val="009A103E"/>
    <w:rsid w:val="009A14F9"/>
    <w:rsid w:val="009C01C1"/>
    <w:rsid w:val="009C1822"/>
    <w:rsid w:val="009C354F"/>
    <w:rsid w:val="009D2B67"/>
    <w:rsid w:val="009D5646"/>
    <w:rsid w:val="009D575C"/>
    <w:rsid w:val="009E2B7F"/>
    <w:rsid w:val="009E314C"/>
    <w:rsid w:val="009E375A"/>
    <w:rsid w:val="009E3B1E"/>
    <w:rsid w:val="009F331C"/>
    <w:rsid w:val="00A04045"/>
    <w:rsid w:val="00A1487D"/>
    <w:rsid w:val="00A160B8"/>
    <w:rsid w:val="00A16CFA"/>
    <w:rsid w:val="00A16E34"/>
    <w:rsid w:val="00A21237"/>
    <w:rsid w:val="00A22335"/>
    <w:rsid w:val="00A25AF3"/>
    <w:rsid w:val="00A303A6"/>
    <w:rsid w:val="00A36993"/>
    <w:rsid w:val="00A37512"/>
    <w:rsid w:val="00A47748"/>
    <w:rsid w:val="00A663BE"/>
    <w:rsid w:val="00A67CB3"/>
    <w:rsid w:val="00A67CF0"/>
    <w:rsid w:val="00A7496F"/>
    <w:rsid w:val="00A76343"/>
    <w:rsid w:val="00A86E03"/>
    <w:rsid w:val="00A95A3C"/>
    <w:rsid w:val="00AA1C99"/>
    <w:rsid w:val="00AA4A7F"/>
    <w:rsid w:val="00AA6666"/>
    <w:rsid w:val="00AB220F"/>
    <w:rsid w:val="00AC1697"/>
    <w:rsid w:val="00AD7F2C"/>
    <w:rsid w:val="00AE27F4"/>
    <w:rsid w:val="00B03E3C"/>
    <w:rsid w:val="00B06E79"/>
    <w:rsid w:val="00B25A9E"/>
    <w:rsid w:val="00B26FE8"/>
    <w:rsid w:val="00B301DD"/>
    <w:rsid w:val="00B374A1"/>
    <w:rsid w:val="00B377E6"/>
    <w:rsid w:val="00B37BAD"/>
    <w:rsid w:val="00B437B5"/>
    <w:rsid w:val="00B43A31"/>
    <w:rsid w:val="00B471B0"/>
    <w:rsid w:val="00B53C5D"/>
    <w:rsid w:val="00B6121E"/>
    <w:rsid w:val="00B6485E"/>
    <w:rsid w:val="00B67E0F"/>
    <w:rsid w:val="00B7120C"/>
    <w:rsid w:val="00B72938"/>
    <w:rsid w:val="00B75FE1"/>
    <w:rsid w:val="00B81168"/>
    <w:rsid w:val="00B828FB"/>
    <w:rsid w:val="00BA4A8A"/>
    <w:rsid w:val="00BA7B49"/>
    <w:rsid w:val="00BB340B"/>
    <w:rsid w:val="00BB60A6"/>
    <w:rsid w:val="00BB7253"/>
    <w:rsid w:val="00BC44F4"/>
    <w:rsid w:val="00BC46F1"/>
    <w:rsid w:val="00BC4770"/>
    <w:rsid w:val="00BC484E"/>
    <w:rsid w:val="00BC73E1"/>
    <w:rsid w:val="00BD2362"/>
    <w:rsid w:val="00BD5DDE"/>
    <w:rsid w:val="00BE0177"/>
    <w:rsid w:val="00BE2C7F"/>
    <w:rsid w:val="00BE472F"/>
    <w:rsid w:val="00BF51C0"/>
    <w:rsid w:val="00BF5F7B"/>
    <w:rsid w:val="00C0024C"/>
    <w:rsid w:val="00C1705A"/>
    <w:rsid w:val="00C26DB8"/>
    <w:rsid w:val="00C279FB"/>
    <w:rsid w:val="00C34FE5"/>
    <w:rsid w:val="00C37B57"/>
    <w:rsid w:val="00C429D8"/>
    <w:rsid w:val="00C43408"/>
    <w:rsid w:val="00C571FF"/>
    <w:rsid w:val="00C57CFF"/>
    <w:rsid w:val="00C64C11"/>
    <w:rsid w:val="00C65DD6"/>
    <w:rsid w:val="00C71BE2"/>
    <w:rsid w:val="00C739E6"/>
    <w:rsid w:val="00C74A6F"/>
    <w:rsid w:val="00C81C48"/>
    <w:rsid w:val="00C8640C"/>
    <w:rsid w:val="00CA194C"/>
    <w:rsid w:val="00CA30DA"/>
    <w:rsid w:val="00CA51B6"/>
    <w:rsid w:val="00CB3922"/>
    <w:rsid w:val="00CB5E68"/>
    <w:rsid w:val="00CB7F14"/>
    <w:rsid w:val="00CC12F0"/>
    <w:rsid w:val="00CD5CB0"/>
    <w:rsid w:val="00CE06DE"/>
    <w:rsid w:val="00CE3AA8"/>
    <w:rsid w:val="00CE5368"/>
    <w:rsid w:val="00CE7FAA"/>
    <w:rsid w:val="00CF0973"/>
    <w:rsid w:val="00CF21EA"/>
    <w:rsid w:val="00CF6397"/>
    <w:rsid w:val="00D25AD0"/>
    <w:rsid w:val="00D27623"/>
    <w:rsid w:val="00D27F82"/>
    <w:rsid w:val="00D36281"/>
    <w:rsid w:val="00D377AB"/>
    <w:rsid w:val="00D40821"/>
    <w:rsid w:val="00D45A43"/>
    <w:rsid w:val="00D46306"/>
    <w:rsid w:val="00D50094"/>
    <w:rsid w:val="00D54FE9"/>
    <w:rsid w:val="00D601E6"/>
    <w:rsid w:val="00D660BE"/>
    <w:rsid w:val="00D6784B"/>
    <w:rsid w:val="00D7281C"/>
    <w:rsid w:val="00D766D9"/>
    <w:rsid w:val="00D76EA4"/>
    <w:rsid w:val="00D82DD2"/>
    <w:rsid w:val="00D830A5"/>
    <w:rsid w:val="00D85A71"/>
    <w:rsid w:val="00D869C9"/>
    <w:rsid w:val="00D90D6D"/>
    <w:rsid w:val="00D9624A"/>
    <w:rsid w:val="00D972E0"/>
    <w:rsid w:val="00DA4C52"/>
    <w:rsid w:val="00DA7FB7"/>
    <w:rsid w:val="00DB1167"/>
    <w:rsid w:val="00DB6166"/>
    <w:rsid w:val="00DC0748"/>
    <w:rsid w:val="00DC4400"/>
    <w:rsid w:val="00DC4A4D"/>
    <w:rsid w:val="00DC5681"/>
    <w:rsid w:val="00DD3662"/>
    <w:rsid w:val="00DD3EF6"/>
    <w:rsid w:val="00DE0DE1"/>
    <w:rsid w:val="00DE4117"/>
    <w:rsid w:val="00DF4A6B"/>
    <w:rsid w:val="00E00A28"/>
    <w:rsid w:val="00E01BAE"/>
    <w:rsid w:val="00E1474B"/>
    <w:rsid w:val="00E2165A"/>
    <w:rsid w:val="00E22ED3"/>
    <w:rsid w:val="00E27F2F"/>
    <w:rsid w:val="00E33725"/>
    <w:rsid w:val="00E34BCB"/>
    <w:rsid w:val="00E35D71"/>
    <w:rsid w:val="00E36CB7"/>
    <w:rsid w:val="00E4456A"/>
    <w:rsid w:val="00E45220"/>
    <w:rsid w:val="00E4663E"/>
    <w:rsid w:val="00E56F23"/>
    <w:rsid w:val="00E60AD8"/>
    <w:rsid w:val="00E62C34"/>
    <w:rsid w:val="00E6471D"/>
    <w:rsid w:val="00E65664"/>
    <w:rsid w:val="00E66DEF"/>
    <w:rsid w:val="00E70CD0"/>
    <w:rsid w:val="00E80193"/>
    <w:rsid w:val="00E92513"/>
    <w:rsid w:val="00E93E9F"/>
    <w:rsid w:val="00E96C0B"/>
    <w:rsid w:val="00E97A59"/>
    <w:rsid w:val="00EA0764"/>
    <w:rsid w:val="00EB14C8"/>
    <w:rsid w:val="00EB4EB6"/>
    <w:rsid w:val="00EB759C"/>
    <w:rsid w:val="00EC1A2D"/>
    <w:rsid w:val="00EC7163"/>
    <w:rsid w:val="00EC7B0F"/>
    <w:rsid w:val="00ED6D20"/>
    <w:rsid w:val="00EE04FB"/>
    <w:rsid w:val="00EF0302"/>
    <w:rsid w:val="00EF5537"/>
    <w:rsid w:val="00F06582"/>
    <w:rsid w:val="00F108FA"/>
    <w:rsid w:val="00F170AB"/>
    <w:rsid w:val="00F209E2"/>
    <w:rsid w:val="00F27BC6"/>
    <w:rsid w:val="00F357BD"/>
    <w:rsid w:val="00F43B33"/>
    <w:rsid w:val="00F47D9E"/>
    <w:rsid w:val="00F50BDC"/>
    <w:rsid w:val="00F55457"/>
    <w:rsid w:val="00F56E37"/>
    <w:rsid w:val="00F57678"/>
    <w:rsid w:val="00F60ECF"/>
    <w:rsid w:val="00F70C1E"/>
    <w:rsid w:val="00F76848"/>
    <w:rsid w:val="00F80257"/>
    <w:rsid w:val="00F84E1B"/>
    <w:rsid w:val="00F8683A"/>
    <w:rsid w:val="00F8793A"/>
    <w:rsid w:val="00F907A6"/>
    <w:rsid w:val="00F90B95"/>
    <w:rsid w:val="00FA4305"/>
    <w:rsid w:val="00FA6A08"/>
    <w:rsid w:val="00FB10B9"/>
    <w:rsid w:val="00FB1D25"/>
    <w:rsid w:val="00FB2D3A"/>
    <w:rsid w:val="00FB4EF4"/>
    <w:rsid w:val="00FC4B2B"/>
    <w:rsid w:val="00FC7F1C"/>
    <w:rsid w:val="00FD4811"/>
    <w:rsid w:val="00FD5237"/>
    <w:rsid w:val="00FD6510"/>
    <w:rsid w:val="00FE31AF"/>
    <w:rsid w:val="00FE4E4A"/>
    <w:rsid w:val="00FE5BBE"/>
    <w:rsid w:val="00FF02FA"/>
    <w:rsid w:val="00FF0D4F"/>
    <w:rsid w:val="00FF48D8"/>
    <w:rsid w:val="00FF65F0"/>
    <w:rsid w:val="01144B85"/>
    <w:rsid w:val="01165DF1"/>
    <w:rsid w:val="01395BCF"/>
    <w:rsid w:val="013B5B69"/>
    <w:rsid w:val="01467B30"/>
    <w:rsid w:val="016A4418"/>
    <w:rsid w:val="01DC07DC"/>
    <w:rsid w:val="02461F85"/>
    <w:rsid w:val="027119E0"/>
    <w:rsid w:val="02A66735"/>
    <w:rsid w:val="02A91547"/>
    <w:rsid w:val="02C277DA"/>
    <w:rsid w:val="02D100EF"/>
    <w:rsid w:val="02E30714"/>
    <w:rsid w:val="03174F3D"/>
    <w:rsid w:val="032B536D"/>
    <w:rsid w:val="03656C31"/>
    <w:rsid w:val="03937BFF"/>
    <w:rsid w:val="03EC76CA"/>
    <w:rsid w:val="03FE6127"/>
    <w:rsid w:val="04092CED"/>
    <w:rsid w:val="04A567E7"/>
    <w:rsid w:val="04F00337"/>
    <w:rsid w:val="052729F8"/>
    <w:rsid w:val="05481387"/>
    <w:rsid w:val="05671072"/>
    <w:rsid w:val="057B562B"/>
    <w:rsid w:val="05AA19B0"/>
    <w:rsid w:val="05CC27DA"/>
    <w:rsid w:val="05F55719"/>
    <w:rsid w:val="05FE39B5"/>
    <w:rsid w:val="06113EC5"/>
    <w:rsid w:val="06330DA0"/>
    <w:rsid w:val="063521C6"/>
    <w:rsid w:val="0647725E"/>
    <w:rsid w:val="0648346B"/>
    <w:rsid w:val="068B4AFF"/>
    <w:rsid w:val="06DF00FD"/>
    <w:rsid w:val="07EC2E3C"/>
    <w:rsid w:val="080D2DB2"/>
    <w:rsid w:val="082425D6"/>
    <w:rsid w:val="082F03E7"/>
    <w:rsid w:val="083365EF"/>
    <w:rsid w:val="08AD5263"/>
    <w:rsid w:val="08AF1FF9"/>
    <w:rsid w:val="08D00067"/>
    <w:rsid w:val="09653B7E"/>
    <w:rsid w:val="09A945F1"/>
    <w:rsid w:val="09D92EB8"/>
    <w:rsid w:val="0A0A37C6"/>
    <w:rsid w:val="0A0E23B7"/>
    <w:rsid w:val="0A614062"/>
    <w:rsid w:val="0A726B80"/>
    <w:rsid w:val="0B123190"/>
    <w:rsid w:val="0B4E5BBB"/>
    <w:rsid w:val="0B8F42CE"/>
    <w:rsid w:val="0BAB6B01"/>
    <w:rsid w:val="0C026EAD"/>
    <w:rsid w:val="0C51214B"/>
    <w:rsid w:val="0C714757"/>
    <w:rsid w:val="0D2B6144"/>
    <w:rsid w:val="0D3827BD"/>
    <w:rsid w:val="0D72599B"/>
    <w:rsid w:val="0DB75942"/>
    <w:rsid w:val="0DDF3E90"/>
    <w:rsid w:val="0DF25562"/>
    <w:rsid w:val="0E254184"/>
    <w:rsid w:val="0E2A6B81"/>
    <w:rsid w:val="0E74263E"/>
    <w:rsid w:val="0E7E1615"/>
    <w:rsid w:val="0E8720C5"/>
    <w:rsid w:val="0EC97F26"/>
    <w:rsid w:val="0F0F7410"/>
    <w:rsid w:val="0F16223C"/>
    <w:rsid w:val="0F166919"/>
    <w:rsid w:val="0F37524C"/>
    <w:rsid w:val="0F560E74"/>
    <w:rsid w:val="0F751B29"/>
    <w:rsid w:val="0F827C9F"/>
    <w:rsid w:val="0F933CDF"/>
    <w:rsid w:val="10033C33"/>
    <w:rsid w:val="10580A78"/>
    <w:rsid w:val="105B2F74"/>
    <w:rsid w:val="10C92421"/>
    <w:rsid w:val="10D86B12"/>
    <w:rsid w:val="11A40FE9"/>
    <w:rsid w:val="11B5078F"/>
    <w:rsid w:val="12370775"/>
    <w:rsid w:val="123D11F0"/>
    <w:rsid w:val="12505FC3"/>
    <w:rsid w:val="126A6551"/>
    <w:rsid w:val="127E4F87"/>
    <w:rsid w:val="12AB7836"/>
    <w:rsid w:val="12FA0D70"/>
    <w:rsid w:val="13563CA5"/>
    <w:rsid w:val="13944FA1"/>
    <w:rsid w:val="13A838A9"/>
    <w:rsid w:val="13AF7FAF"/>
    <w:rsid w:val="141E4A59"/>
    <w:rsid w:val="14275CE2"/>
    <w:rsid w:val="14515DD5"/>
    <w:rsid w:val="14524769"/>
    <w:rsid w:val="14913302"/>
    <w:rsid w:val="149724BB"/>
    <w:rsid w:val="14A74B12"/>
    <w:rsid w:val="14DA4CE9"/>
    <w:rsid w:val="14E21080"/>
    <w:rsid w:val="15251384"/>
    <w:rsid w:val="153C1C06"/>
    <w:rsid w:val="155B6658"/>
    <w:rsid w:val="15712BD2"/>
    <w:rsid w:val="15BA363F"/>
    <w:rsid w:val="15BA67DD"/>
    <w:rsid w:val="16056DCF"/>
    <w:rsid w:val="160E7518"/>
    <w:rsid w:val="162B401C"/>
    <w:rsid w:val="16305971"/>
    <w:rsid w:val="164C4E6A"/>
    <w:rsid w:val="165657A3"/>
    <w:rsid w:val="166E1AEF"/>
    <w:rsid w:val="166F6F3C"/>
    <w:rsid w:val="16836690"/>
    <w:rsid w:val="16E3267B"/>
    <w:rsid w:val="17143DA1"/>
    <w:rsid w:val="171A650D"/>
    <w:rsid w:val="17240045"/>
    <w:rsid w:val="174E4990"/>
    <w:rsid w:val="175D4674"/>
    <w:rsid w:val="1766203B"/>
    <w:rsid w:val="1784700F"/>
    <w:rsid w:val="17B9250D"/>
    <w:rsid w:val="17FF2717"/>
    <w:rsid w:val="18677C93"/>
    <w:rsid w:val="186F4725"/>
    <w:rsid w:val="187D363C"/>
    <w:rsid w:val="18F60254"/>
    <w:rsid w:val="190279AD"/>
    <w:rsid w:val="19027F68"/>
    <w:rsid w:val="190C4DB6"/>
    <w:rsid w:val="194A79C2"/>
    <w:rsid w:val="198A6FBE"/>
    <w:rsid w:val="1A2531BE"/>
    <w:rsid w:val="1A2E6061"/>
    <w:rsid w:val="1A7E089E"/>
    <w:rsid w:val="1A96751F"/>
    <w:rsid w:val="1B356E73"/>
    <w:rsid w:val="1B773170"/>
    <w:rsid w:val="1B884B8B"/>
    <w:rsid w:val="1B9A7F5E"/>
    <w:rsid w:val="1BAA10B9"/>
    <w:rsid w:val="1BE05E74"/>
    <w:rsid w:val="1BEB4D45"/>
    <w:rsid w:val="1BEE3105"/>
    <w:rsid w:val="1BF82C6F"/>
    <w:rsid w:val="1C7C4C8E"/>
    <w:rsid w:val="1D00751C"/>
    <w:rsid w:val="1D554381"/>
    <w:rsid w:val="1D756FD8"/>
    <w:rsid w:val="1DC32EC8"/>
    <w:rsid w:val="1DF118B9"/>
    <w:rsid w:val="1E1A4FFC"/>
    <w:rsid w:val="1E2F53D8"/>
    <w:rsid w:val="1E353BDC"/>
    <w:rsid w:val="1EA20865"/>
    <w:rsid w:val="1EE6689D"/>
    <w:rsid w:val="1F0F1522"/>
    <w:rsid w:val="1F2409A2"/>
    <w:rsid w:val="1F50091F"/>
    <w:rsid w:val="1F712062"/>
    <w:rsid w:val="1F85145B"/>
    <w:rsid w:val="1F9223DA"/>
    <w:rsid w:val="1FC141CA"/>
    <w:rsid w:val="1FEF63CF"/>
    <w:rsid w:val="1FF527A0"/>
    <w:rsid w:val="1FF95C9E"/>
    <w:rsid w:val="201410A4"/>
    <w:rsid w:val="201F3FDF"/>
    <w:rsid w:val="20752900"/>
    <w:rsid w:val="20E66CE7"/>
    <w:rsid w:val="20FC3C98"/>
    <w:rsid w:val="2100389B"/>
    <w:rsid w:val="21472397"/>
    <w:rsid w:val="218336F2"/>
    <w:rsid w:val="21CC4007"/>
    <w:rsid w:val="21D355A1"/>
    <w:rsid w:val="21EB28E9"/>
    <w:rsid w:val="21FD4BA1"/>
    <w:rsid w:val="221231E2"/>
    <w:rsid w:val="222B298D"/>
    <w:rsid w:val="22404FE6"/>
    <w:rsid w:val="22445A9A"/>
    <w:rsid w:val="22A75E85"/>
    <w:rsid w:val="22D93518"/>
    <w:rsid w:val="231C7BCA"/>
    <w:rsid w:val="23673592"/>
    <w:rsid w:val="239C7D31"/>
    <w:rsid w:val="23A728F1"/>
    <w:rsid w:val="23B5124C"/>
    <w:rsid w:val="23BB4AEB"/>
    <w:rsid w:val="23EA5474"/>
    <w:rsid w:val="24187ABD"/>
    <w:rsid w:val="244A5F53"/>
    <w:rsid w:val="24514C05"/>
    <w:rsid w:val="24CD2DBF"/>
    <w:rsid w:val="253D03DB"/>
    <w:rsid w:val="254A4D7E"/>
    <w:rsid w:val="255E564F"/>
    <w:rsid w:val="25D0653B"/>
    <w:rsid w:val="26013AFE"/>
    <w:rsid w:val="261B45F6"/>
    <w:rsid w:val="262F5D44"/>
    <w:rsid w:val="264E6885"/>
    <w:rsid w:val="266D2CB0"/>
    <w:rsid w:val="26804A23"/>
    <w:rsid w:val="26814539"/>
    <w:rsid w:val="26AB788B"/>
    <w:rsid w:val="26DF67A3"/>
    <w:rsid w:val="271E0C2A"/>
    <w:rsid w:val="27315B57"/>
    <w:rsid w:val="27880B62"/>
    <w:rsid w:val="27DC5612"/>
    <w:rsid w:val="281573ED"/>
    <w:rsid w:val="283D0B6D"/>
    <w:rsid w:val="285B0F61"/>
    <w:rsid w:val="286A7EDB"/>
    <w:rsid w:val="28E11BD8"/>
    <w:rsid w:val="28FE5387"/>
    <w:rsid w:val="290869A5"/>
    <w:rsid w:val="294314D9"/>
    <w:rsid w:val="297974E4"/>
    <w:rsid w:val="2A083BDD"/>
    <w:rsid w:val="2A3055AC"/>
    <w:rsid w:val="2A9D70B6"/>
    <w:rsid w:val="2AA64C74"/>
    <w:rsid w:val="2AD92954"/>
    <w:rsid w:val="2AEE7A09"/>
    <w:rsid w:val="2B2340D8"/>
    <w:rsid w:val="2B254BE6"/>
    <w:rsid w:val="2B2920E5"/>
    <w:rsid w:val="2B516ED1"/>
    <w:rsid w:val="2B5A5F70"/>
    <w:rsid w:val="2BC413BB"/>
    <w:rsid w:val="2BD76AD6"/>
    <w:rsid w:val="2BDA47EA"/>
    <w:rsid w:val="2BFB6D86"/>
    <w:rsid w:val="2C000778"/>
    <w:rsid w:val="2C26795A"/>
    <w:rsid w:val="2C506FA1"/>
    <w:rsid w:val="2C583D4C"/>
    <w:rsid w:val="2C666E29"/>
    <w:rsid w:val="2CC04518"/>
    <w:rsid w:val="2CD07C9A"/>
    <w:rsid w:val="2CD451BD"/>
    <w:rsid w:val="2D453EBA"/>
    <w:rsid w:val="2D715FDD"/>
    <w:rsid w:val="2D7E7532"/>
    <w:rsid w:val="2DBF358B"/>
    <w:rsid w:val="2DD73993"/>
    <w:rsid w:val="2E3F1BF0"/>
    <w:rsid w:val="2E833134"/>
    <w:rsid w:val="2E893AFD"/>
    <w:rsid w:val="2ECB7D9E"/>
    <w:rsid w:val="2ED81F14"/>
    <w:rsid w:val="2EDB0A09"/>
    <w:rsid w:val="2EDC5FF0"/>
    <w:rsid w:val="2F173D58"/>
    <w:rsid w:val="2F2A037F"/>
    <w:rsid w:val="2F496EAE"/>
    <w:rsid w:val="2F5C2490"/>
    <w:rsid w:val="2F6F130B"/>
    <w:rsid w:val="300034E2"/>
    <w:rsid w:val="30517FC6"/>
    <w:rsid w:val="30641B2D"/>
    <w:rsid w:val="306F3AF1"/>
    <w:rsid w:val="30D268B3"/>
    <w:rsid w:val="30EC42EC"/>
    <w:rsid w:val="3119196A"/>
    <w:rsid w:val="312132A7"/>
    <w:rsid w:val="31906849"/>
    <w:rsid w:val="31967E50"/>
    <w:rsid w:val="31BB7A41"/>
    <w:rsid w:val="31D73703"/>
    <w:rsid w:val="32087FE5"/>
    <w:rsid w:val="322C3082"/>
    <w:rsid w:val="325C5534"/>
    <w:rsid w:val="32770DC3"/>
    <w:rsid w:val="32B372F1"/>
    <w:rsid w:val="33044C2E"/>
    <w:rsid w:val="3368581C"/>
    <w:rsid w:val="33847431"/>
    <w:rsid w:val="33C12663"/>
    <w:rsid w:val="34193700"/>
    <w:rsid w:val="346C080D"/>
    <w:rsid w:val="34C215C5"/>
    <w:rsid w:val="3559374E"/>
    <w:rsid w:val="356361DD"/>
    <w:rsid w:val="35FD6043"/>
    <w:rsid w:val="36484A3D"/>
    <w:rsid w:val="367C7A12"/>
    <w:rsid w:val="36812A82"/>
    <w:rsid w:val="369001A3"/>
    <w:rsid w:val="3699568D"/>
    <w:rsid w:val="36A63FA8"/>
    <w:rsid w:val="36B67FED"/>
    <w:rsid w:val="36E552F6"/>
    <w:rsid w:val="36EC355D"/>
    <w:rsid w:val="37053BC2"/>
    <w:rsid w:val="37901119"/>
    <w:rsid w:val="37B75B6C"/>
    <w:rsid w:val="37E81DCD"/>
    <w:rsid w:val="37F046AF"/>
    <w:rsid w:val="38814B16"/>
    <w:rsid w:val="38893187"/>
    <w:rsid w:val="389D479E"/>
    <w:rsid w:val="38BB2FA7"/>
    <w:rsid w:val="38C05D04"/>
    <w:rsid w:val="38C30565"/>
    <w:rsid w:val="3914549F"/>
    <w:rsid w:val="397E4385"/>
    <w:rsid w:val="3A0B4AF4"/>
    <w:rsid w:val="3A5B3A1F"/>
    <w:rsid w:val="3AD76784"/>
    <w:rsid w:val="3AED1469"/>
    <w:rsid w:val="3B061E23"/>
    <w:rsid w:val="3B2E6E63"/>
    <w:rsid w:val="3B3F1070"/>
    <w:rsid w:val="3B41652E"/>
    <w:rsid w:val="3B5775CF"/>
    <w:rsid w:val="3B6A71BB"/>
    <w:rsid w:val="3B7C2988"/>
    <w:rsid w:val="3BB56BB4"/>
    <w:rsid w:val="3BB73297"/>
    <w:rsid w:val="3BE05D78"/>
    <w:rsid w:val="3C005F63"/>
    <w:rsid w:val="3C0E4465"/>
    <w:rsid w:val="3C1105A8"/>
    <w:rsid w:val="3C711B50"/>
    <w:rsid w:val="3C93570E"/>
    <w:rsid w:val="3CD218F9"/>
    <w:rsid w:val="3CEE2E12"/>
    <w:rsid w:val="3D374A81"/>
    <w:rsid w:val="3D6E60A8"/>
    <w:rsid w:val="3D920E5C"/>
    <w:rsid w:val="3D977A9A"/>
    <w:rsid w:val="3DAE1844"/>
    <w:rsid w:val="3DB468DE"/>
    <w:rsid w:val="3E0032E9"/>
    <w:rsid w:val="3E2256DD"/>
    <w:rsid w:val="3E397CCE"/>
    <w:rsid w:val="3E886713"/>
    <w:rsid w:val="3E8F5950"/>
    <w:rsid w:val="3EA40F37"/>
    <w:rsid w:val="3ECB7789"/>
    <w:rsid w:val="3EDF794D"/>
    <w:rsid w:val="3F06596B"/>
    <w:rsid w:val="3F223921"/>
    <w:rsid w:val="3F2C712D"/>
    <w:rsid w:val="3F360C6D"/>
    <w:rsid w:val="3F433AF5"/>
    <w:rsid w:val="3F861EF7"/>
    <w:rsid w:val="3FA76C60"/>
    <w:rsid w:val="3FE233B6"/>
    <w:rsid w:val="3FED3288"/>
    <w:rsid w:val="40030413"/>
    <w:rsid w:val="400E1B56"/>
    <w:rsid w:val="405326F6"/>
    <w:rsid w:val="40702669"/>
    <w:rsid w:val="40866C82"/>
    <w:rsid w:val="41247753"/>
    <w:rsid w:val="41946A1F"/>
    <w:rsid w:val="419951A9"/>
    <w:rsid w:val="41AE28CF"/>
    <w:rsid w:val="41B36950"/>
    <w:rsid w:val="41BF4C18"/>
    <w:rsid w:val="41D33B5C"/>
    <w:rsid w:val="42241DAD"/>
    <w:rsid w:val="42405ECD"/>
    <w:rsid w:val="424468E2"/>
    <w:rsid w:val="426008BF"/>
    <w:rsid w:val="4280111A"/>
    <w:rsid w:val="42B9054D"/>
    <w:rsid w:val="42FC5F96"/>
    <w:rsid w:val="43023760"/>
    <w:rsid w:val="43503578"/>
    <w:rsid w:val="435B0C45"/>
    <w:rsid w:val="436E4F76"/>
    <w:rsid w:val="437B17A0"/>
    <w:rsid w:val="438748BC"/>
    <w:rsid w:val="43903C24"/>
    <w:rsid w:val="43C37289"/>
    <w:rsid w:val="43DD4161"/>
    <w:rsid w:val="44652D69"/>
    <w:rsid w:val="449D0201"/>
    <w:rsid w:val="451344E9"/>
    <w:rsid w:val="455C0E29"/>
    <w:rsid w:val="45833D44"/>
    <w:rsid w:val="45F537FA"/>
    <w:rsid w:val="45FC1428"/>
    <w:rsid w:val="463C6A04"/>
    <w:rsid w:val="46767CE1"/>
    <w:rsid w:val="46BA7904"/>
    <w:rsid w:val="46FF705F"/>
    <w:rsid w:val="47352CFF"/>
    <w:rsid w:val="47420097"/>
    <w:rsid w:val="474A0E33"/>
    <w:rsid w:val="47772C9F"/>
    <w:rsid w:val="47A16EF9"/>
    <w:rsid w:val="47C40741"/>
    <w:rsid w:val="48286340"/>
    <w:rsid w:val="488442F6"/>
    <w:rsid w:val="48D725D0"/>
    <w:rsid w:val="49114C05"/>
    <w:rsid w:val="49954ECE"/>
    <w:rsid w:val="49B36105"/>
    <w:rsid w:val="49B56E3E"/>
    <w:rsid w:val="4A5566FC"/>
    <w:rsid w:val="4A69389D"/>
    <w:rsid w:val="4AA719FD"/>
    <w:rsid w:val="4ADF2C8F"/>
    <w:rsid w:val="4AF55A96"/>
    <w:rsid w:val="4B8447D8"/>
    <w:rsid w:val="4B856321"/>
    <w:rsid w:val="4BBF3EF5"/>
    <w:rsid w:val="4C044C26"/>
    <w:rsid w:val="4C407B4F"/>
    <w:rsid w:val="4C5676EA"/>
    <w:rsid w:val="4C6051EA"/>
    <w:rsid w:val="4C6C7925"/>
    <w:rsid w:val="4C7B5D29"/>
    <w:rsid w:val="4CFF2296"/>
    <w:rsid w:val="4D170530"/>
    <w:rsid w:val="4D1E4058"/>
    <w:rsid w:val="4D9D33A7"/>
    <w:rsid w:val="4DEB45C9"/>
    <w:rsid w:val="4E1849EA"/>
    <w:rsid w:val="4E3A178C"/>
    <w:rsid w:val="4E846D5F"/>
    <w:rsid w:val="4E92570F"/>
    <w:rsid w:val="4EC217CD"/>
    <w:rsid w:val="4EDB52F8"/>
    <w:rsid w:val="4EE239A9"/>
    <w:rsid w:val="4EE6663D"/>
    <w:rsid w:val="4F6F0649"/>
    <w:rsid w:val="4F9D7B44"/>
    <w:rsid w:val="4FAE4FA0"/>
    <w:rsid w:val="4FB9314F"/>
    <w:rsid w:val="4FF17ED4"/>
    <w:rsid w:val="4FF635DA"/>
    <w:rsid w:val="500251D5"/>
    <w:rsid w:val="504B75A0"/>
    <w:rsid w:val="50D02C3B"/>
    <w:rsid w:val="5125221F"/>
    <w:rsid w:val="521701EA"/>
    <w:rsid w:val="529259F2"/>
    <w:rsid w:val="529F76B9"/>
    <w:rsid w:val="52AA63E3"/>
    <w:rsid w:val="52CC0AC1"/>
    <w:rsid w:val="52F80DED"/>
    <w:rsid w:val="53025D7D"/>
    <w:rsid w:val="538872FA"/>
    <w:rsid w:val="53A45945"/>
    <w:rsid w:val="53F542B2"/>
    <w:rsid w:val="54092845"/>
    <w:rsid w:val="541F321E"/>
    <w:rsid w:val="542907BA"/>
    <w:rsid w:val="545D7EF5"/>
    <w:rsid w:val="547E15D2"/>
    <w:rsid w:val="551268DF"/>
    <w:rsid w:val="554715D9"/>
    <w:rsid w:val="55664E19"/>
    <w:rsid w:val="558336C6"/>
    <w:rsid w:val="558A0B6B"/>
    <w:rsid w:val="558C72FE"/>
    <w:rsid w:val="55AD72AE"/>
    <w:rsid w:val="55DC1E71"/>
    <w:rsid w:val="562E6962"/>
    <w:rsid w:val="563B6F96"/>
    <w:rsid w:val="56633896"/>
    <w:rsid w:val="5690004B"/>
    <w:rsid w:val="56B605C4"/>
    <w:rsid w:val="56BD29CD"/>
    <w:rsid w:val="56C218CF"/>
    <w:rsid w:val="570D65A0"/>
    <w:rsid w:val="57355E17"/>
    <w:rsid w:val="575A1549"/>
    <w:rsid w:val="57E80E8F"/>
    <w:rsid w:val="580746F5"/>
    <w:rsid w:val="581A6F8B"/>
    <w:rsid w:val="58A87F43"/>
    <w:rsid w:val="58CD5F1F"/>
    <w:rsid w:val="5929084D"/>
    <w:rsid w:val="5976568E"/>
    <w:rsid w:val="59803A68"/>
    <w:rsid w:val="59B97267"/>
    <w:rsid w:val="5A24333C"/>
    <w:rsid w:val="5A333010"/>
    <w:rsid w:val="5A416118"/>
    <w:rsid w:val="5A5D703A"/>
    <w:rsid w:val="5A6E49DB"/>
    <w:rsid w:val="5AA72961"/>
    <w:rsid w:val="5AD02317"/>
    <w:rsid w:val="5ADD15E9"/>
    <w:rsid w:val="5B5A0CA5"/>
    <w:rsid w:val="5B621CD0"/>
    <w:rsid w:val="5BB15E5A"/>
    <w:rsid w:val="5BC566C4"/>
    <w:rsid w:val="5C23137D"/>
    <w:rsid w:val="5C810E0A"/>
    <w:rsid w:val="5CF44B95"/>
    <w:rsid w:val="5D393591"/>
    <w:rsid w:val="5D6809FE"/>
    <w:rsid w:val="5D6F1F64"/>
    <w:rsid w:val="5D801330"/>
    <w:rsid w:val="5DA6050C"/>
    <w:rsid w:val="5DE57A54"/>
    <w:rsid w:val="5E457D25"/>
    <w:rsid w:val="5E5B5C14"/>
    <w:rsid w:val="5ECF0CC0"/>
    <w:rsid w:val="5F275830"/>
    <w:rsid w:val="5F580A56"/>
    <w:rsid w:val="5F7145D4"/>
    <w:rsid w:val="5F7B6EF0"/>
    <w:rsid w:val="5F887BAA"/>
    <w:rsid w:val="5FCE7F8D"/>
    <w:rsid w:val="5FD44D8B"/>
    <w:rsid w:val="5FDE0A96"/>
    <w:rsid w:val="5FF77AFB"/>
    <w:rsid w:val="600341B3"/>
    <w:rsid w:val="60351696"/>
    <w:rsid w:val="60652890"/>
    <w:rsid w:val="6071574E"/>
    <w:rsid w:val="60957D01"/>
    <w:rsid w:val="60F63D5B"/>
    <w:rsid w:val="61206ADA"/>
    <w:rsid w:val="61B340E1"/>
    <w:rsid w:val="61DA1034"/>
    <w:rsid w:val="61F0718F"/>
    <w:rsid w:val="61F730E4"/>
    <w:rsid w:val="622A49E9"/>
    <w:rsid w:val="628B68C5"/>
    <w:rsid w:val="62AB34E7"/>
    <w:rsid w:val="62D630E6"/>
    <w:rsid w:val="62DF07B9"/>
    <w:rsid w:val="62E97DC0"/>
    <w:rsid w:val="62F042AF"/>
    <w:rsid w:val="632919C8"/>
    <w:rsid w:val="639037F0"/>
    <w:rsid w:val="639F098E"/>
    <w:rsid w:val="63C10B27"/>
    <w:rsid w:val="63EC3EE2"/>
    <w:rsid w:val="641535E7"/>
    <w:rsid w:val="64533225"/>
    <w:rsid w:val="64C00761"/>
    <w:rsid w:val="64CC0B98"/>
    <w:rsid w:val="64CC6AAA"/>
    <w:rsid w:val="650A097D"/>
    <w:rsid w:val="65477B59"/>
    <w:rsid w:val="654D0EAC"/>
    <w:rsid w:val="655354D4"/>
    <w:rsid w:val="65631FD8"/>
    <w:rsid w:val="662415C5"/>
    <w:rsid w:val="66434BE7"/>
    <w:rsid w:val="66631AA7"/>
    <w:rsid w:val="66753567"/>
    <w:rsid w:val="668E3135"/>
    <w:rsid w:val="66B31FD3"/>
    <w:rsid w:val="66BE2F21"/>
    <w:rsid w:val="66EA5BC7"/>
    <w:rsid w:val="67095D94"/>
    <w:rsid w:val="677671A1"/>
    <w:rsid w:val="679715F1"/>
    <w:rsid w:val="67AC1F5B"/>
    <w:rsid w:val="682D7CC7"/>
    <w:rsid w:val="683352C3"/>
    <w:rsid w:val="685079F2"/>
    <w:rsid w:val="687731D1"/>
    <w:rsid w:val="68E74766"/>
    <w:rsid w:val="68F64CD5"/>
    <w:rsid w:val="6951023E"/>
    <w:rsid w:val="69B42D88"/>
    <w:rsid w:val="6A2C3B47"/>
    <w:rsid w:val="6A5D6F4A"/>
    <w:rsid w:val="6A701B92"/>
    <w:rsid w:val="6AC144EA"/>
    <w:rsid w:val="6AD454CE"/>
    <w:rsid w:val="6B0C45DB"/>
    <w:rsid w:val="6B113325"/>
    <w:rsid w:val="6B305DFC"/>
    <w:rsid w:val="6B753DA1"/>
    <w:rsid w:val="6BAB7B12"/>
    <w:rsid w:val="6BC9655D"/>
    <w:rsid w:val="6BE177D1"/>
    <w:rsid w:val="6C0A2496"/>
    <w:rsid w:val="6C235482"/>
    <w:rsid w:val="6C271944"/>
    <w:rsid w:val="6C2C6C3C"/>
    <w:rsid w:val="6C36100E"/>
    <w:rsid w:val="6C9C01D7"/>
    <w:rsid w:val="6CC7130E"/>
    <w:rsid w:val="6D13026A"/>
    <w:rsid w:val="6D611D5A"/>
    <w:rsid w:val="6E1570A2"/>
    <w:rsid w:val="6E1B11D3"/>
    <w:rsid w:val="6E241D59"/>
    <w:rsid w:val="6E3B6A4F"/>
    <w:rsid w:val="6E550784"/>
    <w:rsid w:val="6E912952"/>
    <w:rsid w:val="6EB45633"/>
    <w:rsid w:val="6EE61D01"/>
    <w:rsid w:val="6F3740C4"/>
    <w:rsid w:val="6F7C40EA"/>
    <w:rsid w:val="6FAC51B1"/>
    <w:rsid w:val="6FBE0A90"/>
    <w:rsid w:val="70092D20"/>
    <w:rsid w:val="702D2A02"/>
    <w:rsid w:val="70336D01"/>
    <w:rsid w:val="70512559"/>
    <w:rsid w:val="707C0599"/>
    <w:rsid w:val="708C0DA3"/>
    <w:rsid w:val="709D4152"/>
    <w:rsid w:val="70CE3EFF"/>
    <w:rsid w:val="70E433CD"/>
    <w:rsid w:val="70E57494"/>
    <w:rsid w:val="713B2668"/>
    <w:rsid w:val="714F4DA8"/>
    <w:rsid w:val="71704C61"/>
    <w:rsid w:val="71733DC9"/>
    <w:rsid w:val="718F6E95"/>
    <w:rsid w:val="71A90EDE"/>
    <w:rsid w:val="72210632"/>
    <w:rsid w:val="72392D7E"/>
    <w:rsid w:val="72463B71"/>
    <w:rsid w:val="725D3437"/>
    <w:rsid w:val="72C761F2"/>
    <w:rsid w:val="739756DF"/>
    <w:rsid w:val="73AF48B1"/>
    <w:rsid w:val="73F41B79"/>
    <w:rsid w:val="73F841D0"/>
    <w:rsid w:val="7426796C"/>
    <w:rsid w:val="743F2EBB"/>
    <w:rsid w:val="7464691F"/>
    <w:rsid w:val="74AD0116"/>
    <w:rsid w:val="74AE54C6"/>
    <w:rsid w:val="74DD2769"/>
    <w:rsid w:val="74E4497B"/>
    <w:rsid w:val="74FE7E54"/>
    <w:rsid w:val="755A5E33"/>
    <w:rsid w:val="755F1F68"/>
    <w:rsid w:val="75B26FAD"/>
    <w:rsid w:val="75C669F1"/>
    <w:rsid w:val="75F8423A"/>
    <w:rsid w:val="76044881"/>
    <w:rsid w:val="765558A9"/>
    <w:rsid w:val="765E2CBA"/>
    <w:rsid w:val="76713FA6"/>
    <w:rsid w:val="768E3B23"/>
    <w:rsid w:val="76B95BE9"/>
    <w:rsid w:val="76C35395"/>
    <w:rsid w:val="76FB26C3"/>
    <w:rsid w:val="77204A34"/>
    <w:rsid w:val="772C754E"/>
    <w:rsid w:val="772D3A2F"/>
    <w:rsid w:val="773477B4"/>
    <w:rsid w:val="773B4A16"/>
    <w:rsid w:val="774853AF"/>
    <w:rsid w:val="776C64D8"/>
    <w:rsid w:val="77752FD1"/>
    <w:rsid w:val="779F1E52"/>
    <w:rsid w:val="77BB14B5"/>
    <w:rsid w:val="77F959B0"/>
    <w:rsid w:val="78007394"/>
    <w:rsid w:val="782651FF"/>
    <w:rsid w:val="78AF3D9A"/>
    <w:rsid w:val="78E81581"/>
    <w:rsid w:val="78EF1B8C"/>
    <w:rsid w:val="79216434"/>
    <w:rsid w:val="7926142F"/>
    <w:rsid w:val="792C3B64"/>
    <w:rsid w:val="793D7005"/>
    <w:rsid w:val="79BC046C"/>
    <w:rsid w:val="79CD66DC"/>
    <w:rsid w:val="7A114E21"/>
    <w:rsid w:val="7A9314DB"/>
    <w:rsid w:val="7A9F3085"/>
    <w:rsid w:val="7AA51178"/>
    <w:rsid w:val="7AF66B47"/>
    <w:rsid w:val="7B1B46A5"/>
    <w:rsid w:val="7B2C18EF"/>
    <w:rsid w:val="7B3F192C"/>
    <w:rsid w:val="7B4C1606"/>
    <w:rsid w:val="7B827A6B"/>
    <w:rsid w:val="7BB018A3"/>
    <w:rsid w:val="7BBA172C"/>
    <w:rsid w:val="7BF87741"/>
    <w:rsid w:val="7C596986"/>
    <w:rsid w:val="7C65567C"/>
    <w:rsid w:val="7C923CDE"/>
    <w:rsid w:val="7CF35045"/>
    <w:rsid w:val="7D3D5791"/>
    <w:rsid w:val="7DA07B76"/>
    <w:rsid w:val="7DBA34EC"/>
    <w:rsid w:val="7DF628AD"/>
    <w:rsid w:val="7E024891"/>
    <w:rsid w:val="7E08508D"/>
    <w:rsid w:val="7E154A2A"/>
    <w:rsid w:val="7E3126D6"/>
    <w:rsid w:val="7E8A093C"/>
    <w:rsid w:val="7E927FC5"/>
    <w:rsid w:val="7EEF71C5"/>
    <w:rsid w:val="7F520214"/>
    <w:rsid w:val="7FA05272"/>
    <w:rsid w:val="7FA72316"/>
    <w:rsid w:val="7FB328E9"/>
    <w:rsid w:val="7FF374B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ocked="1"/>
    <w:lsdException w:qFormat="1" w:unhideWhenUsed="0" w:uiPriority="0" w:semiHidden="0" w:name="heading 2" w:locked="1"/>
    <w:lsdException w:qFormat="1" w:unhideWhenUsed="0" w:uiPriority="99" w:semiHidden="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qFormat="1" w:unhideWhenUsed="0"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qFormat="1" w:unhideWhenUsed="0"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1"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59"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qFormat/>
    <w:locked/>
    <w:uiPriority w:val="9"/>
    <w:pPr>
      <w:keepNext/>
      <w:keepLines/>
      <w:spacing w:before="6" w:beforeLines="6" w:after="6" w:afterLines="6" w:line="460" w:lineRule="exact"/>
      <w:outlineLvl w:val="0"/>
    </w:pPr>
    <w:rPr>
      <w:rFonts w:eastAsia="黑体"/>
      <w:b/>
      <w:bCs/>
      <w:kern w:val="44"/>
      <w:sz w:val="32"/>
      <w:szCs w:val="44"/>
    </w:rPr>
  </w:style>
  <w:style w:type="paragraph" w:styleId="3">
    <w:name w:val="heading 2"/>
    <w:basedOn w:val="1"/>
    <w:next w:val="1"/>
    <w:qFormat/>
    <w:locked/>
    <w:uiPriority w:val="0"/>
    <w:pPr>
      <w:keepNext/>
      <w:keepLines/>
      <w:spacing w:before="260" w:beforeLines="0" w:after="260" w:afterLines="0" w:line="415" w:lineRule="auto"/>
      <w:outlineLvl w:val="1"/>
    </w:pPr>
    <w:rPr>
      <w:rFonts w:ascii="Cambria" w:hAnsi="Cambria"/>
      <w:b/>
      <w:bCs/>
      <w:sz w:val="32"/>
      <w:szCs w:val="32"/>
    </w:rPr>
  </w:style>
  <w:style w:type="paragraph" w:styleId="4">
    <w:name w:val="heading 3"/>
    <w:basedOn w:val="1"/>
    <w:next w:val="1"/>
    <w:link w:val="20"/>
    <w:qFormat/>
    <w:locked/>
    <w:uiPriority w:val="99"/>
    <w:pPr>
      <w:keepNext/>
      <w:keepLines/>
      <w:spacing w:before="260" w:after="260" w:line="413" w:lineRule="auto"/>
      <w:outlineLvl w:val="2"/>
    </w:pPr>
    <w:rPr>
      <w:b/>
      <w:bCs/>
      <w:kern w:val="0"/>
    </w:rPr>
  </w:style>
  <w:style w:type="paragraph" w:styleId="5">
    <w:name w:val="heading 4"/>
    <w:basedOn w:val="1"/>
    <w:next w:val="1"/>
    <w:link w:val="28"/>
    <w:semiHidden/>
    <w:unhideWhenUsed/>
    <w:qFormat/>
    <w:locked/>
    <w:uiPriority w:val="0"/>
    <w:pPr>
      <w:keepNext/>
      <w:keepLines/>
      <w:spacing w:before="280" w:after="290" w:line="376" w:lineRule="auto"/>
      <w:outlineLvl w:val="3"/>
    </w:pPr>
    <w:rPr>
      <w:rFonts w:ascii="Cambria" w:hAnsi="Cambria"/>
      <w:b/>
      <w:bCs/>
      <w:sz w:val="28"/>
      <w:szCs w:val="28"/>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25"/>
    <w:semiHidden/>
    <w:qFormat/>
    <w:uiPriority w:val="99"/>
    <w:pPr>
      <w:jc w:val="left"/>
    </w:pPr>
  </w:style>
  <w:style w:type="paragraph" w:styleId="7">
    <w:name w:val="Body Text"/>
    <w:basedOn w:val="1"/>
    <w:link w:val="29"/>
    <w:qFormat/>
    <w:uiPriority w:val="1"/>
    <w:pPr>
      <w:autoSpaceDE w:val="0"/>
      <w:autoSpaceDN w:val="0"/>
      <w:jc w:val="left"/>
    </w:pPr>
    <w:rPr>
      <w:rFonts w:ascii="宋体" w:hAnsi="宋体" w:cs="宋体"/>
      <w:kern w:val="0"/>
      <w:sz w:val="30"/>
      <w:szCs w:val="30"/>
      <w:lang w:val="zh-CN" w:bidi="zh-CN"/>
    </w:rPr>
  </w:style>
  <w:style w:type="paragraph" w:styleId="8">
    <w:name w:val="Body Text Indent"/>
    <w:basedOn w:val="1"/>
    <w:unhideWhenUsed/>
    <w:qFormat/>
    <w:uiPriority w:val="99"/>
    <w:pPr>
      <w:spacing w:after="120"/>
      <w:ind w:left="420" w:leftChars="200"/>
    </w:pPr>
  </w:style>
  <w:style w:type="paragraph" w:styleId="9">
    <w:name w:val="Plain Text"/>
    <w:basedOn w:val="1"/>
    <w:unhideWhenUsed/>
    <w:qFormat/>
    <w:uiPriority w:val="99"/>
    <w:rPr>
      <w:rFonts w:ascii="宋体" w:hAnsi="Courier New" w:cs="Courier New"/>
    </w:rPr>
  </w:style>
  <w:style w:type="paragraph" w:styleId="10">
    <w:name w:val="Balloon Text"/>
    <w:basedOn w:val="1"/>
    <w:link w:val="27"/>
    <w:semiHidden/>
    <w:qFormat/>
    <w:uiPriority w:val="99"/>
    <w:rPr>
      <w:sz w:val="18"/>
      <w:szCs w:val="18"/>
    </w:rPr>
  </w:style>
  <w:style w:type="paragraph" w:styleId="11">
    <w:name w:val="footer"/>
    <w:basedOn w:val="1"/>
    <w:link w:val="22"/>
    <w:qFormat/>
    <w:uiPriority w:val="99"/>
    <w:pPr>
      <w:tabs>
        <w:tab w:val="center" w:pos="4153"/>
        <w:tab w:val="right" w:pos="8306"/>
      </w:tabs>
      <w:snapToGrid w:val="0"/>
      <w:jc w:val="left"/>
    </w:pPr>
    <w:rPr>
      <w:kern w:val="0"/>
      <w:sz w:val="18"/>
      <w:szCs w:val="18"/>
    </w:rPr>
  </w:style>
  <w:style w:type="paragraph" w:styleId="12">
    <w:name w:val="header"/>
    <w:basedOn w:val="1"/>
    <w:link w:val="21"/>
    <w:qFormat/>
    <w:uiPriority w:val="99"/>
    <w:pPr>
      <w:pBdr>
        <w:bottom w:val="single" w:color="auto" w:sz="6" w:space="1"/>
      </w:pBdr>
      <w:tabs>
        <w:tab w:val="center" w:pos="4153"/>
        <w:tab w:val="right" w:pos="8306"/>
      </w:tabs>
      <w:snapToGrid w:val="0"/>
      <w:jc w:val="center"/>
    </w:pPr>
    <w:rPr>
      <w:kern w:val="0"/>
      <w:sz w:val="18"/>
      <w:szCs w:val="18"/>
    </w:rPr>
  </w:style>
  <w:style w:type="paragraph" w:styleId="13">
    <w:name w:val="annotation subject"/>
    <w:basedOn w:val="6"/>
    <w:next w:val="6"/>
    <w:link w:val="26"/>
    <w:semiHidden/>
    <w:qFormat/>
    <w:uiPriority w:val="99"/>
    <w:rPr>
      <w:b/>
      <w:bCs/>
    </w:rPr>
  </w:style>
  <w:style w:type="paragraph" w:styleId="14">
    <w:name w:val="Body Text First Indent 2"/>
    <w:basedOn w:val="8"/>
    <w:unhideWhenUsed/>
    <w:qFormat/>
    <w:uiPriority w:val="99"/>
    <w:pPr>
      <w:ind w:firstLine="420" w:firstLineChars="200"/>
    </w:pPr>
  </w:style>
  <w:style w:type="table" w:styleId="16">
    <w:name w:val="Table Grid"/>
    <w:basedOn w:val="15"/>
    <w:qFormat/>
    <w:locked/>
    <w:uiPriority w:val="59"/>
    <w:pPr>
      <w:widowControl w:val="0"/>
      <w:jc w:val="both"/>
    </w:pPr>
    <w:rPr>
      <w:rFonts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Hyperlink"/>
    <w:qFormat/>
    <w:uiPriority w:val="99"/>
    <w:rPr>
      <w:color w:val="0000FF"/>
      <w:u w:val="single"/>
    </w:rPr>
  </w:style>
  <w:style w:type="character" w:styleId="19">
    <w:name w:val="annotation reference"/>
    <w:semiHidden/>
    <w:qFormat/>
    <w:uiPriority w:val="99"/>
    <w:rPr>
      <w:sz w:val="21"/>
      <w:szCs w:val="21"/>
    </w:rPr>
  </w:style>
  <w:style w:type="character" w:customStyle="1" w:styleId="20">
    <w:name w:val="标题 3 字符"/>
    <w:link w:val="4"/>
    <w:qFormat/>
    <w:locked/>
    <w:uiPriority w:val="99"/>
    <w:rPr>
      <w:rFonts w:ascii="Times New Roman" w:hAnsi="Times New Roman" w:cs="Times New Roman"/>
      <w:b/>
      <w:bCs/>
      <w:sz w:val="21"/>
      <w:szCs w:val="21"/>
    </w:rPr>
  </w:style>
  <w:style w:type="character" w:customStyle="1" w:styleId="21">
    <w:name w:val="页眉 字符"/>
    <w:link w:val="12"/>
    <w:qFormat/>
    <w:locked/>
    <w:uiPriority w:val="99"/>
    <w:rPr>
      <w:rFonts w:ascii="Times New Roman" w:hAnsi="Times New Roman" w:eastAsia="宋体" w:cs="Times New Roman"/>
      <w:sz w:val="18"/>
      <w:szCs w:val="18"/>
    </w:rPr>
  </w:style>
  <w:style w:type="character" w:customStyle="1" w:styleId="22">
    <w:name w:val="页脚 字符"/>
    <w:link w:val="11"/>
    <w:qFormat/>
    <w:locked/>
    <w:uiPriority w:val="99"/>
    <w:rPr>
      <w:rFonts w:ascii="Times New Roman" w:hAnsi="Times New Roman" w:eastAsia="宋体" w:cs="Times New Roman"/>
      <w:sz w:val="18"/>
      <w:szCs w:val="18"/>
    </w:rPr>
  </w:style>
  <w:style w:type="character" w:customStyle="1" w:styleId="23">
    <w:name w:val="font51"/>
    <w:qFormat/>
    <w:uiPriority w:val="99"/>
    <w:rPr>
      <w:rFonts w:ascii="楷体_GB2312" w:eastAsia="楷体_GB2312" w:cs="楷体_GB2312"/>
      <w:color w:val="FF0000"/>
      <w:sz w:val="20"/>
      <w:szCs w:val="20"/>
      <w:u w:val="none"/>
    </w:rPr>
  </w:style>
  <w:style w:type="paragraph" w:customStyle="1" w:styleId="24">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5">
    <w:name w:val="批注文字 字符"/>
    <w:link w:val="6"/>
    <w:semiHidden/>
    <w:qFormat/>
    <w:locked/>
    <w:uiPriority w:val="99"/>
    <w:rPr>
      <w:rFonts w:ascii="Times New Roman" w:hAnsi="Times New Roman" w:cs="Times New Roman"/>
      <w:kern w:val="2"/>
      <w:sz w:val="21"/>
      <w:szCs w:val="21"/>
    </w:rPr>
  </w:style>
  <w:style w:type="character" w:customStyle="1" w:styleId="26">
    <w:name w:val="批注主题 字符"/>
    <w:link w:val="13"/>
    <w:semiHidden/>
    <w:qFormat/>
    <w:locked/>
    <w:uiPriority w:val="99"/>
    <w:rPr>
      <w:rFonts w:ascii="Times New Roman" w:hAnsi="Times New Roman" w:cs="Times New Roman"/>
      <w:b/>
      <w:bCs/>
      <w:kern w:val="2"/>
      <w:sz w:val="21"/>
      <w:szCs w:val="21"/>
    </w:rPr>
  </w:style>
  <w:style w:type="character" w:customStyle="1" w:styleId="27">
    <w:name w:val="批注框文本 字符"/>
    <w:link w:val="10"/>
    <w:semiHidden/>
    <w:qFormat/>
    <w:locked/>
    <w:uiPriority w:val="99"/>
    <w:rPr>
      <w:rFonts w:ascii="Times New Roman" w:hAnsi="Times New Roman" w:cs="Times New Roman"/>
      <w:kern w:val="2"/>
      <w:sz w:val="18"/>
      <w:szCs w:val="18"/>
    </w:rPr>
  </w:style>
  <w:style w:type="character" w:customStyle="1" w:styleId="28">
    <w:name w:val="标题 4 字符"/>
    <w:link w:val="5"/>
    <w:semiHidden/>
    <w:qFormat/>
    <w:uiPriority w:val="0"/>
    <w:rPr>
      <w:rFonts w:ascii="Cambria" w:hAnsi="Cambria" w:eastAsia="宋体" w:cs="Times New Roman"/>
      <w:b/>
      <w:bCs/>
      <w:kern w:val="2"/>
      <w:sz w:val="28"/>
      <w:szCs w:val="28"/>
    </w:rPr>
  </w:style>
  <w:style w:type="character" w:customStyle="1" w:styleId="29">
    <w:name w:val="正文文本 字符"/>
    <w:link w:val="7"/>
    <w:qFormat/>
    <w:uiPriority w:val="1"/>
    <w:rPr>
      <w:rFonts w:ascii="宋体" w:hAnsi="宋体" w:cs="宋体"/>
      <w:sz w:val="30"/>
      <w:szCs w:val="30"/>
      <w:lang w:val="zh-CN" w:bidi="zh-CN"/>
    </w:rPr>
  </w:style>
  <w:style w:type="paragraph" w:styleId="30">
    <w:name w:val="List Paragraph"/>
    <w:basedOn w:val="1"/>
    <w:qFormat/>
    <w:uiPriority w:val="99"/>
    <w:pPr>
      <w:ind w:firstLine="420"/>
    </w:pPr>
  </w:style>
  <w:style w:type="table" w:customStyle="1" w:styleId="31">
    <w:name w:val="Table Normal"/>
    <w:semiHidden/>
    <w:unhideWhenUsed/>
    <w:qFormat/>
    <w:uiPriority w:val="0"/>
    <w:rPr>
      <w:rFonts w:ascii="Arial" w:hAnsi="Arial" w:cs="Arial" w:eastAsiaTheme="minorEastAsia"/>
    </w:rPr>
    <w:tblPr>
      <w:tblCellMar>
        <w:top w:w="0" w:type="dxa"/>
        <w:left w:w="0" w:type="dxa"/>
        <w:bottom w:w="0" w:type="dxa"/>
        <w:right w:w="0" w:type="dxa"/>
      </w:tblCellMar>
    </w:tblPr>
  </w:style>
  <w:style w:type="paragraph" w:customStyle="1" w:styleId="32">
    <w:name w:val="_Style 11"/>
    <w:basedOn w:val="8"/>
    <w:next w:val="14"/>
    <w:unhideWhenUsed/>
    <w:qFormat/>
    <w:uiPriority w:val="99"/>
    <w:pPr>
      <w:autoSpaceDE w:val="0"/>
      <w:autoSpaceDN w:val="0"/>
      <w:ind w:firstLine="420" w:firstLineChars="200"/>
      <w:jc w:val="left"/>
    </w:pPr>
    <w:rPr>
      <w:rFonts w:ascii="仿宋" w:hAnsi="仿宋" w:cs="仿宋"/>
      <w:kern w:val="0"/>
      <w:szCs w:val="22"/>
      <w:lang w:val="zh-CN" w:bidi="zh-CN"/>
    </w:rPr>
  </w:style>
  <w:style w:type="paragraph" w:customStyle="1" w:styleId="33">
    <w:name w:val="Table Text"/>
    <w:basedOn w:val="1"/>
    <w:semiHidden/>
    <w:qFormat/>
    <w:uiPriority w:val="0"/>
    <w:rPr>
      <w:rFonts w:ascii="宋体" w:hAnsi="宋体" w:eastAsia="宋体" w:cs="宋体"/>
      <w:sz w:val="17"/>
      <w:szCs w:val="17"/>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microsoft.com/office/2007/relationships/hdphoto" Target="media/image3.wdp"/><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23</Pages>
  <Words>9943</Words>
  <Characters>10640</Characters>
  <Lines>80</Lines>
  <Paragraphs>22</Paragraphs>
  <TotalTime>2</TotalTime>
  <ScaleCrop>false</ScaleCrop>
  <LinksUpToDate>false</LinksUpToDate>
  <CharactersWithSpaces>10707</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2023-10-27T02:17:00Z</dcterms:created>
  <dc:creator>dx</dc:creator>
  <cp:lastModifiedBy>左手无名指1398045354</cp:lastModifiedBy>
  <cp:lastPrinted>2022-10-17T01:14:00Z</cp:lastPrinted>
  <dcterms:modified xsi:type="dcterms:W3CDTF">2024-11-19T03:45:50Z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1135B9157BBC4103B004663712CD7EF8_13</vt:lpwstr>
  </property>
</Properties>
</file>