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23C5D">
      <w:pPr>
        <w:pStyle w:val="3"/>
        <w:keepNext/>
        <w:keepLines/>
        <w:pageBreakBefore w:val="0"/>
        <w:widowControl w:val="0"/>
        <w:kinsoku/>
        <w:wordWrap/>
        <w:overflowPunct/>
        <w:topLinePunct w:val="0"/>
        <w:autoSpaceDE/>
        <w:autoSpaceDN/>
        <w:bidi w:val="0"/>
        <w:adjustRightInd/>
        <w:snapToGrid/>
        <w:spacing w:beforeLines="0" w:beforeAutospacing="0" w:after="380" w:afterLines="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bookmarkStart w:id="0" w:name="_Toc382406748"/>
      <w:r>
        <w:rPr>
          <w:rFonts w:hint="eastAsia" w:ascii="Arial" w:hAnsi="Arial" w:eastAsia="黑体" w:cstheme="minorBidi"/>
          <w:b/>
          <w:bCs w:val="0"/>
          <w:snapToGrid/>
          <w:color w:val="000000"/>
          <w:kern w:val="2"/>
          <w:sz w:val="40"/>
          <w:szCs w:val="32"/>
          <w:lang w:val="en-US" w:eastAsia="zh-CN"/>
        </w:rPr>
        <w:t>兰州现</w:t>
      </w:r>
      <w:bookmarkStart w:id="4" w:name="_GoBack"/>
      <w:bookmarkEnd w:id="4"/>
      <w:r>
        <w:rPr>
          <w:rFonts w:hint="eastAsia" w:ascii="Arial" w:hAnsi="Arial" w:eastAsia="黑体" w:cstheme="minorBidi"/>
          <w:b/>
          <w:bCs w:val="0"/>
          <w:snapToGrid/>
          <w:color w:val="000000"/>
          <w:kern w:val="2"/>
          <w:sz w:val="40"/>
          <w:szCs w:val="32"/>
          <w:lang w:val="en-US" w:eastAsia="zh-CN"/>
        </w:rPr>
        <w:t>代职业学院职业院校技能大赛规程</w:t>
      </w:r>
    </w:p>
    <w:p w14:paraId="618573A6">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一、赛项名称</w:t>
      </w:r>
      <w:bookmarkEnd w:id="0"/>
    </w:p>
    <w:p w14:paraId="7C54B6B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赛项名称：物联网应用开发</w:t>
      </w:r>
    </w:p>
    <w:p w14:paraId="71660F7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英文</w:t>
      </w:r>
      <w:r>
        <w:rPr>
          <w:rFonts w:hint="eastAsia" w:ascii="仿宋_GB2312" w:hAnsi="仿宋_GB2312" w:eastAsia="仿宋_GB2312" w:cs="仿宋_GB2312"/>
          <w:kern w:val="0"/>
          <w:sz w:val="28"/>
          <w:szCs w:val="28"/>
        </w:rPr>
        <w:t>名称：IoT Applications and Services</w:t>
      </w:r>
    </w:p>
    <w:p w14:paraId="5085415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赛项组别：高职组</w:t>
      </w:r>
    </w:p>
    <w:p w14:paraId="2A6B085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赛项归属产业：电子信息产业</w:t>
      </w:r>
    </w:p>
    <w:p w14:paraId="76BF819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bookmarkStart w:id="1" w:name="_Toc382406749"/>
      <w:r>
        <w:rPr>
          <w:rFonts w:hint="eastAsia" w:ascii="仿宋_GB2312" w:hAnsi="仿宋_GB2312" w:eastAsia="仿宋_GB2312" w:cs="仿宋_GB2312"/>
          <w:bCs w:val="0"/>
          <w:kern w:val="2"/>
          <w:sz w:val="30"/>
          <w:szCs w:val="30"/>
        </w:rPr>
        <w:t>二、竞赛目的</w:t>
      </w:r>
      <w:bookmarkEnd w:id="1"/>
    </w:p>
    <w:p w14:paraId="63B78B55">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物联网应用与服务赛项致力于全面推动人才培养、产业发展、国家战略和创新融合，贯彻落实《国家职业教育改革实施方案》《关于推动现代职业教育高质量发展的意见》、全国职业教育大会精神和国家新职业教育法，服务国家科技创新、产业结构优化、国际竞争力提升和国家战略实施，探索新技术、新产业、新业态和新模式的创新融合，通过融入物联网行业发展的最新技术、创新应用和职业技能最新标准，产教融合、协同育人，引领职业院校物联网技术应用专业建设，推进“岗课赛证”育人模式改革，推动物联网“双师型”师资队伍建设，促进职普融通、产教融合、科教融汇，优化职业教育类型定位，提升专业人才培养质量，大力培养适应我国经济与社会发展的能从事物联网设备安装与调试、物联网系统运行与维护、物联网系统监控、物联网产品制造与测试、物联网项目辅助开发和售后技术支持的物联网技术技能型人才，为赋能产业转型升级，推动我国数字经济发展提供人才支持。</w:t>
      </w:r>
    </w:p>
    <w:p w14:paraId="0F7A15CD">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三、竞赛内容</w:t>
      </w:r>
    </w:p>
    <w:p w14:paraId="02888EC6">
      <w:pPr>
        <w:pageBreakBefore w:val="0"/>
        <w:kinsoku/>
        <w:wordWrap/>
        <w:overflowPunct/>
        <w:topLinePunct w:val="0"/>
        <w:autoSpaceDE/>
        <w:autoSpaceDN/>
        <w:bidi w:val="0"/>
        <w:spacing w:line="560" w:lineRule="exact"/>
        <w:ind w:right="210" w:rightChars="100" w:firstLine="420"/>
        <w:jc w:val="left"/>
        <w:textAlignment w:val="auto"/>
        <w:rPr>
          <w:rFonts w:hint="eastAsia" w:ascii="仿宋_GB2312" w:hAnsi="仿宋_GB2312" w:eastAsia="仿宋_GB2312" w:cs="仿宋_GB2312"/>
          <w:b/>
          <w:sz w:val="28"/>
          <w:szCs w:val="36"/>
        </w:rPr>
      </w:pPr>
      <w:r>
        <w:rPr>
          <w:rFonts w:hint="eastAsia" w:ascii="仿宋_GB2312" w:hAnsi="仿宋_GB2312" w:eastAsia="仿宋_GB2312" w:cs="仿宋_GB2312"/>
          <w:b/>
          <w:sz w:val="32"/>
          <w:szCs w:val="40"/>
        </w:rPr>
        <w:t>（一）赛项考查的技术技能和涵盖的职业典型工作任务</w:t>
      </w:r>
      <w:r>
        <w:rPr>
          <w:rFonts w:hint="eastAsia" w:ascii="仿宋_GB2312" w:hAnsi="仿宋_GB2312" w:eastAsia="仿宋_GB2312" w:cs="仿宋_GB2312"/>
          <w:b/>
          <w:sz w:val="28"/>
          <w:szCs w:val="36"/>
        </w:rPr>
        <w:t xml:space="preserve">  </w:t>
      </w:r>
    </w:p>
    <w:p w14:paraId="0C8A05E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本赛项通过还原真实的物联网应用场景，体现完整任务，主要考查选手传感器应用、网络通信等方面的知识；物联网生产施工、物联技术服务等方面的能力；职业道德、工作态度、人际交往、团队合作、工匠精神等方面的素养。同时，结合农业、交通、市政、医疗、能源等领域智能化应用，明确行业实际需求，创造性地利用竞赛技术平台资源，围绕问题开发创意，创新解决方案，进行真实项目的物联网工程设计与实施。</w:t>
      </w:r>
    </w:p>
    <w:p w14:paraId="673179A2">
      <w:pPr>
        <w:pageBreakBefore w:val="0"/>
        <w:kinsoku/>
        <w:wordWrap/>
        <w:overflowPunct/>
        <w:topLinePunct w:val="0"/>
        <w:autoSpaceDE/>
        <w:autoSpaceDN/>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（二）项目内容</w:t>
      </w:r>
    </w:p>
    <w:p w14:paraId="5D42672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根据赛道设置，结合专业要求，围绕生产、管理、服务一线岗位实际需要和实践要求，立足技能创新，基于参赛学校专业优势和特点，自主确定参赛项目名称，自主设计参赛项目内容，自主选择参赛设备。</w:t>
      </w:r>
    </w:p>
    <w:p w14:paraId="57426EE0">
      <w:pPr>
        <w:pageBreakBefore w:val="0"/>
        <w:kinsoku/>
        <w:wordWrap/>
        <w:overflowPunct/>
        <w:topLinePunct w:val="0"/>
        <w:autoSpaceDE/>
        <w:autoSpaceDN/>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（三）项目呈现</w:t>
      </w:r>
    </w:p>
    <w:p w14:paraId="69F1089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队伍根据工作任务，按团队成员分工，同步进行技能操作和现场讲解。技能操作重点展示专业技能熟练程度、规范程度以及解决技术难题的创新能力，现场讲解主要介绍总体思路、技能要点、主要成果、项目创新等。比赛须完成一个完整的工作任务，比赛时长不超过1小时，在技能操作的同时，对关键技术环节安排适当讲解。</w:t>
      </w:r>
    </w:p>
    <w:p w14:paraId="1B7DFDA9">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sz w:val="32"/>
          <w:szCs w:val="40"/>
        </w:rPr>
        <w:t>（四）比赛时长</w:t>
      </w:r>
    </w:p>
    <w:p w14:paraId="10CC71A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每支参赛队伍比赛时长不超过一小时。</w:t>
      </w:r>
    </w:p>
    <w:p w14:paraId="220F8DD8">
      <w:pPr>
        <w:pageBreakBefore w:val="0"/>
        <w:kinsoku/>
        <w:wordWrap/>
        <w:overflowPunct/>
        <w:topLinePunct w:val="0"/>
        <w:autoSpaceDE/>
        <w:autoSpaceDN/>
        <w:bidi w:val="0"/>
        <w:spacing w:line="560" w:lineRule="exact"/>
        <w:ind w:right="210" w:rightChars="100"/>
        <w:jc w:val="left"/>
        <w:textAlignment w:val="auto"/>
        <w:rPr>
          <w:rFonts w:hint="eastAsia" w:ascii="仿宋_GB2312" w:hAnsi="仿宋_GB2312" w:eastAsia="仿宋_GB2312" w:cs="仿宋_GB2312"/>
          <w:b/>
          <w:sz w:val="32"/>
          <w:szCs w:val="40"/>
        </w:rPr>
      </w:pPr>
      <w:r>
        <w:rPr>
          <w:rFonts w:hint="eastAsia" w:ascii="仿宋_GB2312" w:hAnsi="仿宋_GB2312" w:eastAsia="仿宋_GB2312" w:cs="仿宋_GB2312"/>
          <w:b/>
          <w:sz w:val="32"/>
          <w:szCs w:val="40"/>
        </w:rPr>
        <w:t>（五）检验选手核心能力与职业综合能力</w:t>
      </w:r>
    </w:p>
    <w:p w14:paraId="324944BF">
      <w:pPr>
        <w:pageBreakBefore w:val="0"/>
        <w:kinsoku/>
        <w:wordWrap/>
        <w:overflowPunct/>
        <w:topLinePunct w:val="0"/>
        <w:autoSpaceDE/>
        <w:autoSpaceDN/>
        <w:bidi w:val="0"/>
        <w:spacing w:line="560" w:lineRule="exact"/>
        <w:ind w:right="210" w:rightChars="100" w:firstLine="562" w:firstLineChars="200"/>
        <w:jc w:val="left"/>
        <w:textAlignment w:val="auto"/>
        <w:rPr>
          <w:rFonts w:hint="eastAsia" w:ascii="仿宋_GB2312" w:hAnsi="仿宋_GB2312" w:eastAsia="仿宋_GB2312" w:cs="仿宋_GB2312"/>
          <w:sz w:val="28"/>
          <w:szCs w:val="36"/>
        </w:rPr>
      </w:pPr>
      <w:r>
        <w:rPr>
          <w:rFonts w:hint="eastAsia" w:ascii="仿宋_GB2312" w:hAnsi="仿宋_GB2312" w:eastAsia="仿宋_GB2312" w:cs="仿宋_GB2312"/>
          <w:b/>
          <w:sz w:val="28"/>
          <w:szCs w:val="36"/>
        </w:rPr>
        <w:t>1.认知型技能。</w:t>
      </w:r>
      <w:r>
        <w:rPr>
          <w:rFonts w:hint="eastAsia" w:ascii="仿宋_GB2312" w:hAnsi="仿宋_GB2312" w:eastAsia="仿宋_GB2312" w:cs="仿宋_GB2312"/>
          <w:sz w:val="28"/>
          <w:szCs w:val="36"/>
        </w:rPr>
        <w:t>包括物联网基础知识、物联网设备认知、物联网技术认知、物联网应用认知。</w:t>
      </w:r>
    </w:p>
    <w:p w14:paraId="52CCB148">
      <w:pPr>
        <w:pageBreakBefore w:val="0"/>
        <w:kinsoku/>
        <w:wordWrap/>
        <w:overflowPunct/>
        <w:topLinePunct w:val="0"/>
        <w:autoSpaceDE/>
        <w:autoSpaceDN/>
        <w:bidi w:val="0"/>
        <w:spacing w:line="560" w:lineRule="exact"/>
        <w:ind w:right="210" w:rightChars="100" w:firstLine="562" w:firstLineChars="200"/>
        <w:jc w:val="left"/>
        <w:textAlignment w:val="auto"/>
        <w:rPr>
          <w:rFonts w:hint="eastAsia" w:ascii="仿宋_GB2312" w:hAnsi="仿宋_GB2312" w:eastAsia="仿宋_GB2312" w:cs="仿宋_GB2312"/>
          <w:bCs/>
          <w:sz w:val="28"/>
          <w:szCs w:val="36"/>
        </w:rPr>
      </w:pPr>
      <w:r>
        <w:rPr>
          <w:rFonts w:hint="eastAsia" w:ascii="仿宋_GB2312" w:hAnsi="仿宋_GB2312" w:eastAsia="仿宋_GB2312" w:cs="仿宋_GB2312"/>
          <w:b/>
          <w:sz w:val="28"/>
          <w:szCs w:val="36"/>
        </w:rPr>
        <w:t>2.实操型技能。</w:t>
      </w:r>
      <w:r>
        <w:rPr>
          <w:rFonts w:hint="eastAsia" w:ascii="仿宋_GB2312" w:hAnsi="仿宋_GB2312" w:eastAsia="仿宋_GB2312" w:cs="仿宋_GB2312"/>
          <w:sz w:val="28"/>
          <w:szCs w:val="36"/>
        </w:rPr>
        <w:t>包括硬件设备安装调试、网络设备连接配置、软件系统部署维护、物联网项目应用操作。</w:t>
      </w:r>
    </w:p>
    <w:p w14:paraId="5435933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（1）硬件设备安装调试</w:t>
      </w:r>
    </w:p>
    <w:p w14:paraId="3251CCAB">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基于物联网竞赛工位，按照要求利用通用工具安装调试硬件设备，如传感器、执行器件、传感网络节点等安装到竞赛工位面板上，完成连接及供电，并按照要求对各个设备进行配置，保证设备正常工作。</w:t>
      </w:r>
    </w:p>
    <w:p w14:paraId="0BF357D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（2）网络设备连接配置</w:t>
      </w:r>
    </w:p>
    <w:p w14:paraId="1B6E875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按照要求建立并管理物联网工程的网络环境，包括网络连接布线，无线路由器设定配置，传感网设备、串口服务器、计算机、智能网关等终端设备进行网络配置。</w:t>
      </w:r>
    </w:p>
    <w:p w14:paraId="029120F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（3）软件系统部署维护</w:t>
      </w:r>
    </w:p>
    <w:p w14:paraId="23590E0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部署安装软件系统，配置物联网云服务系统，对系统软件的运行环境进行部署安装；对产品配套的应用软件进行部署安装配置等；对产品配套软件系统的维护等；对物联网项目工程通过仿真系统进行搭建、配置及部署。</w:t>
      </w:r>
    </w:p>
    <w:p w14:paraId="74D3199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（4）物联网项目应用操作</w:t>
      </w:r>
    </w:p>
    <w:p w14:paraId="7732842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对智慧农业、智慧工厂、智能门店等物联网项目的使用操作、业务流程进行了解和熟悉，能够操作和演示各个场景子功能的业务环节。</w:t>
      </w:r>
    </w:p>
    <w:p w14:paraId="00DF8C6D">
      <w:pPr>
        <w:pageBreakBefore w:val="0"/>
        <w:kinsoku/>
        <w:wordWrap/>
        <w:overflowPunct/>
        <w:topLinePunct w:val="0"/>
        <w:autoSpaceDE/>
        <w:autoSpaceDN/>
        <w:bidi w:val="0"/>
        <w:spacing w:line="560" w:lineRule="exact"/>
        <w:ind w:firstLine="562"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3.开发型技能。</w:t>
      </w:r>
      <w:r>
        <w:rPr>
          <w:rFonts w:hint="eastAsia" w:ascii="仿宋_GB2312" w:hAnsi="仿宋_GB2312" w:eastAsia="仿宋_GB2312" w:cs="仿宋_GB2312"/>
          <w:sz w:val="28"/>
          <w:szCs w:val="36"/>
        </w:rPr>
        <w:t>包括根据相关功能子模块的要求，实现传感网辅助应用开发、物联网辅助应用软件开发和程序调试等。</w:t>
      </w:r>
    </w:p>
    <w:p w14:paraId="241B366A">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四、竞赛方式</w:t>
      </w:r>
    </w:p>
    <w:p w14:paraId="449DB2F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1.组队要求</w:t>
      </w:r>
    </w:p>
    <w:p w14:paraId="604D547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团体赛。每支参赛队由 2-4名比赛选手组成，不得跨校组队，每队可配有 1-2 名指导老师。</w:t>
      </w:r>
    </w:p>
    <w:p w14:paraId="3A9FD2B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2.选手要求</w:t>
      </w:r>
    </w:p>
    <w:p w14:paraId="2C2295C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参赛选手必须是兰州市在籍学生。年龄在21岁以下。比赛以团队方式进行，每支参赛队由2-4名选手组成，选队长 1 名。选手需分工协作、共同完成竞赛任务，具体分工由各参赛队自主决定。报名时选手须认真填写身份证明（身份证、学生证号）。参赛选手和指导老师报名获得确认后不得随意更换，比赛期间参赛选手用准备相关材料（身份证、学生证）的复印件，以备查阅。</w:t>
      </w:r>
    </w:p>
    <w:p w14:paraId="662016D6">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五、竞赛流程</w:t>
      </w:r>
    </w:p>
    <w:p w14:paraId="707F451D">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（一）竞赛流程图</w:t>
      </w:r>
    </w:p>
    <w:p w14:paraId="2BE0846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kern w:val="0"/>
          <w:sz w:val="18"/>
          <w:szCs w:val="18"/>
          <w:lang w:val="zh-CN"/>
        </w:rPr>
      </w:pPr>
      <w:r>
        <w:rPr>
          <w:rFonts w:hint="eastAsia" w:ascii="仿宋_GB2312" w:hAnsi="仿宋_GB2312" w:eastAsia="仿宋_GB2312" w:cs="仿宋_GB2312"/>
        </w:rPr>
        <w:drawing>
          <wp:inline distT="0" distB="0" distL="0" distR="0">
            <wp:extent cx="4987925" cy="5426710"/>
            <wp:effectExtent l="0" t="0" r="317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4987925" cy="5426710"/>
                    </a:xfrm>
                    <a:prstGeom prst="rect">
                      <a:avLst/>
                    </a:prstGeom>
                  </pic:spPr>
                </pic:pic>
              </a:graphicData>
            </a:graphic>
          </wp:inline>
        </w:drawing>
      </w:r>
    </w:p>
    <w:p w14:paraId="714C43CC">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（二）竞赛时间安排表</w:t>
      </w:r>
    </w:p>
    <w:tbl>
      <w:tblPr>
        <w:tblStyle w:val="10"/>
        <w:tblW w:w="50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19"/>
        <w:gridCol w:w="1521"/>
        <w:gridCol w:w="1631"/>
        <w:gridCol w:w="3665"/>
      </w:tblGrid>
      <w:tr w14:paraId="196B9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911" w:type="pct"/>
            <w:tcBorders>
              <w:tl2br w:val="nil"/>
              <w:tr2bl w:val="nil"/>
            </w:tcBorders>
            <w:vAlign w:val="center"/>
          </w:tcPr>
          <w:p w14:paraId="7F04B3F3">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4"/>
              </w:rPr>
            </w:pPr>
            <w:r>
              <w:rPr>
                <w:rFonts w:hint="eastAsia" w:ascii="仿宋_GB2312" w:hAnsi="仿宋_GB2312" w:eastAsia="仿宋_GB2312" w:cs="仿宋_GB2312"/>
                <w:b/>
                <w:sz w:val="24"/>
              </w:rPr>
              <w:t>日程</w:t>
            </w:r>
          </w:p>
        </w:tc>
        <w:tc>
          <w:tcPr>
            <w:tcW w:w="912" w:type="pct"/>
            <w:tcBorders>
              <w:tl2br w:val="nil"/>
              <w:tr2bl w:val="nil"/>
            </w:tcBorders>
            <w:vAlign w:val="center"/>
          </w:tcPr>
          <w:p w14:paraId="6ECBDA37">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4"/>
              </w:rPr>
            </w:pPr>
            <w:r>
              <w:rPr>
                <w:rFonts w:hint="eastAsia" w:ascii="仿宋_GB2312" w:hAnsi="仿宋_GB2312" w:eastAsia="仿宋_GB2312" w:cs="仿宋_GB2312"/>
                <w:b/>
                <w:sz w:val="24"/>
              </w:rPr>
              <w:t>时间</w:t>
            </w:r>
          </w:p>
        </w:tc>
        <w:tc>
          <w:tcPr>
            <w:tcW w:w="978" w:type="pct"/>
            <w:tcBorders>
              <w:tl2br w:val="nil"/>
              <w:tr2bl w:val="nil"/>
            </w:tcBorders>
            <w:vAlign w:val="center"/>
          </w:tcPr>
          <w:p w14:paraId="2D0C2567">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4"/>
              </w:rPr>
            </w:pPr>
            <w:r>
              <w:rPr>
                <w:rFonts w:hint="eastAsia" w:ascii="仿宋_GB2312" w:hAnsi="仿宋_GB2312" w:eastAsia="仿宋_GB2312" w:cs="仿宋_GB2312"/>
                <w:b/>
                <w:sz w:val="24"/>
              </w:rPr>
              <w:t>竞赛环节</w:t>
            </w:r>
          </w:p>
        </w:tc>
        <w:tc>
          <w:tcPr>
            <w:tcW w:w="2198" w:type="pct"/>
            <w:tcBorders>
              <w:tl2br w:val="nil"/>
              <w:tr2bl w:val="nil"/>
            </w:tcBorders>
            <w:vAlign w:val="center"/>
          </w:tcPr>
          <w:p w14:paraId="7F3C8487">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4"/>
              </w:rPr>
            </w:pPr>
            <w:r>
              <w:rPr>
                <w:rFonts w:hint="eastAsia" w:ascii="仿宋_GB2312" w:hAnsi="仿宋_GB2312" w:eastAsia="仿宋_GB2312" w:cs="仿宋_GB2312"/>
                <w:b/>
                <w:sz w:val="24"/>
              </w:rPr>
              <w:t>说       明</w:t>
            </w:r>
          </w:p>
        </w:tc>
      </w:tr>
      <w:tr w14:paraId="4AA0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restart"/>
            <w:tcBorders>
              <w:tl2br w:val="nil"/>
              <w:tr2bl w:val="nil"/>
            </w:tcBorders>
            <w:vAlign w:val="center"/>
          </w:tcPr>
          <w:p w14:paraId="23F0BA1E">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比赛日</w:t>
            </w:r>
          </w:p>
        </w:tc>
        <w:tc>
          <w:tcPr>
            <w:tcW w:w="912" w:type="pct"/>
            <w:tcBorders>
              <w:tl2br w:val="nil"/>
              <w:tr2bl w:val="nil"/>
            </w:tcBorders>
            <w:vAlign w:val="center"/>
          </w:tcPr>
          <w:p w14:paraId="5FEFE262">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07:00-07:30</w:t>
            </w:r>
          </w:p>
        </w:tc>
        <w:tc>
          <w:tcPr>
            <w:tcW w:w="978" w:type="pct"/>
            <w:tcBorders>
              <w:tl2br w:val="nil"/>
              <w:tr2bl w:val="nil"/>
            </w:tcBorders>
            <w:vAlign w:val="center"/>
          </w:tcPr>
          <w:p w14:paraId="2AB6F315">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启封赛场</w:t>
            </w:r>
          </w:p>
        </w:tc>
        <w:tc>
          <w:tcPr>
            <w:tcW w:w="2198" w:type="pct"/>
            <w:tcBorders>
              <w:tl2br w:val="nil"/>
              <w:tr2bl w:val="nil"/>
            </w:tcBorders>
            <w:vAlign w:val="center"/>
          </w:tcPr>
          <w:p w14:paraId="16EB8F3F">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在裁判员和监督仲裁员的监督下工作人员启封赛场</w:t>
            </w:r>
          </w:p>
        </w:tc>
      </w:tr>
      <w:tr w14:paraId="2A21D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42DF108B">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15CCE4CC">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07:40-07:50</w:t>
            </w:r>
          </w:p>
        </w:tc>
        <w:tc>
          <w:tcPr>
            <w:tcW w:w="978" w:type="pct"/>
            <w:tcBorders>
              <w:tl2br w:val="nil"/>
              <w:tr2bl w:val="nil"/>
            </w:tcBorders>
            <w:vAlign w:val="center"/>
          </w:tcPr>
          <w:p w14:paraId="7C8218A8">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竞赛选手进行一次加密</w:t>
            </w:r>
          </w:p>
        </w:tc>
        <w:tc>
          <w:tcPr>
            <w:tcW w:w="2198" w:type="pct"/>
            <w:tcBorders>
              <w:tl2br w:val="nil"/>
              <w:tr2bl w:val="nil"/>
            </w:tcBorders>
            <w:vAlign w:val="center"/>
          </w:tcPr>
          <w:p w14:paraId="020F017C">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参赛选手持参赛证、身份证和学生证接受工作人员检录并进行一次加密确定参赛编号</w:t>
            </w:r>
          </w:p>
        </w:tc>
      </w:tr>
      <w:tr w14:paraId="21565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34060CED">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34ED8161">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07:50-08:00</w:t>
            </w:r>
          </w:p>
        </w:tc>
        <w:tc>
          <w:tcPr>
            <w:tcW w:w="978" w:type="pct"/>
            <w:tcBorders>
              <w:tl2br w:val="nil"/>
              <w:tr2bl w:val="nil"/>
            </w:tcBorders>
            <w:vAlign w:val="center"/>
          </w:tcPr>
          <w:p w14:paraId="4C275A4F">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二次抽签加密</w:t>
            </w:r>
          </w:p>
        </w:tc>
        <w:tc>
          <w:tcPr>
            <w:tcW w:w="2198" w:type="pct"/>
            <w:tcBorders>
              <w:tl2br w:val="nil"/>
              <w:tr2bl w:val="nil"/>
            </w:tcBorders>
            <w:vAlign w:val="center"/>
          </w:tcPr>
          <w:p w14:paraId="0B9677D6">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参赛选手凭一次加密后的参赛编号进行二次抽签加密确定赛位号</w:t>
            </w:r>
          </w:p>
        </w:tc>
      </w:tr>
      <w:tr w14:paraId="4D486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57DA1E1D">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71CF7E74">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08:00-08:10</w:t>
            </w:r>
          </w:p>
        </w:tc>
        <w:tc>
          <w:tcPr>
            <w:tcW w:w="978" w:type="pct"/>
            <w:tcBorders>
              <w:tl2br w:val="nil"/>
              <w:tr2bl w:val="nil"/>
            </w:tcBorders>
            <w:vAlign w:val="center"/>
          </w:tcPr>
          <w:p w14:paraId="210AD0B0">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竞赛入场检录</w:t>
            </w:r>
          </w:p>
        </w:tc>
        <w:tc>
          <w:tcPr>
            <w:tcW w:w="2198" w:type="pct"/>
            <w:tcBorders>
              <w:tl2br w:val="nil"/>
              <w:tr2bl w:val="nil"/>
            </w:tcBorders>
            <w:vAlign w:val="center"/>
          </w:tcPr>
          <w:p w14:paraId="4825616C">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参赛选手凭赛位号接受入场检录确认没有携带竞赛禁止的工具和材料</w:t>
            </w:r>
          </w:p>
        </w:tc>
      </w:tr>
      <w:tr w14:paraId="01735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3A43A22B">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559E0418">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08:10-08:20</w:t>
            </w:r>
          </w:p>
        </w:tc>
        <w:tc>
          <w:tcPr>
            <w:tcW w:w="978" w:type="pct"/>
            <w:tcBorders>
              <w:tl2br w:val="nil"/>
              <w:tr2bl w:val="nil"/>
            </w:tcBorders>
            <w:vAlign w:val="center"/>
          </w:tcPr>
          <w:p w14:paraId="3EE8998C">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竞赛选手入场就位、发布竞赛任务</w:t>
            </w:r>
          </w:p>
        </w:tc>
        <w:tc>
          <w:tcPr>
            <w:tcW w:w="2198" w:type="pct"/>
            <w:tcBorders>
              <w:tl2br w:val="nil"/>
              <w:tr2bl w:val="nil"/>
            </w:tcBorders>
            <w:vAlign w:val="center"/>
          </w:tcPr>
          <w:p w14:paraId="5F0AA9BC">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kern w:val="0"/>
                <w:sz w:val="24"/>
              </w:rPr>
            </w:pPr>
            <w:r>
              <w:rPr>
                <w:rFonts w:hint="eastAsia" w:ascii="仿宋_GB2312" w:hAnsi="仿宋_GB2312" w:eastAsia="仿宋_GB2312" w:cs="仿宋_GB2312"/>
                <w:sz w:val="24"/>
              </w:rPr>
              <w:t>参赛选手根据赛位号由工作人员引导进入竞赛工位、</w:t>
            </w:r>
            <w:r>
              <w:rPr>
                <w:rFonts w:hint="eastAsia" w:ascii="仿宋_GB2312" w:hAnsi="仿宋_GB2312" w:eastAsia="仿宋_GB2312" w:cs="仿宋_GB2312"/>
                <w:kern w:val="0"/>
                <w:sz w:val="24"/>
              </w:rPr>
              <w:t>裁判宣读竞赛规则及赛场规则，发布竞赛任务并作必要说明</w:t>
            </w:r>
          </w:p>
        </w:tc>
      </w:tr>
      <w:tr w14:paraId="6201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5CD0A760">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243781C2">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08:30-12:00</w:t>
            </w:r>
          </w:p>
        </w:tc>
        <w:tc>
          <w:tcPr>
            <w:tcW w:w="978" w:type="pct"/>
            <w:tcBorders>
              <w:tl2br w:val="nil"/>
              <w:tr2bl w:val="nil"/>
            </w:tcBorders>
            <w:vAlign w:val="center"/>
          </w:tcPr>
          <w:p w14:paraId="3AFE1FA6">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竞赛</w:t>
            </w:r>
          </w:p>
        </w:tc>
        <w:tc>
          <w:tcPr>
            <w:tcW w:w="2198" w:type="pct"/>
            <w:tcBorders>
              <w:tl2br w:val="nil"/>
              <w:tr2bl w:val="nil"/>
            </w:tcBorders>
            <w:vAlign w:val="center"/>
          </w:tcPr>
          <w:p w14:paraId="15C013B0">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w:t>
            </w:r>
          </w:p>
        </w:tc>
      </w:tr>
      <w:tr w14:paraId="59D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3F8179F4">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6D684CF0">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12:00-13:30</w:t>
            </w:r>
          </w:p>
        </w:tc>
        <w:tc>
          <w:tcPr>
            <w:tcW w:w="978" w:type="pct"/>
            <w:tcBorders>
              <w:tl2br w:val="nil"/>
              <w:tr2bl w:val="nil"/>
            </w:tcBorders>
            <w:vAlign w:val="center"/>
          </w:tcPr>
          <w:p w14:paraId="3E7460C8">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评分</w:t>
            </w:r>
          </w:p>
        </w:tc>
        <w:tc>
          <w:tcPr>
            <w:tcW w:w="2198" w:type="pct"/>
            <w:tcBorders>
              <w:tl2br w:val="nil"/>
              <w:tr2bl w:val="nil"/>
            </w:tcBorders>
            <w:vAlign w:val="center"/>
          </w:tcPr>
          <w:p w14:paraId="647669CB">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裁判组对竞赛的各参赛队评分</w:t>
            </w:r>
          </w:p>
        </w:tc>
      </w:tr>
      <w:tr w14:paraId="346F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42FC3C79">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02336723">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13:30-14:40</w:t>
            </w:r>
          </w:p>
        </w:tc>
        <w:tc>
          <w:tcPr>
            <w:tcW w:w="978" w:type="pct"/>
            <w:tcBorders>
              <w:tl2br w:val="nil"/>
              <w:tr2bl w:val="nil"/>
            </w:tcBorders>
            <w:vAlign w:val="center"/>
          </w:tcPr>
          <w:p w14:paraId="71B88E02">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解密</w:t>
            </w:r>
          </w:p>
        </w:tc>
        <w:tc>
          <w:tcPr>
            <w:tcW w:w="2198" w:type="pct"/>
            <w:tcBorders>
              <w:tl2br w:val="nil"/>
              <w:tr2bl w:val="nil"/>
            </w:tcBorders>
            <w:vAlign w:val="center"/>
          </w:tcPr>
          <w:p w14:paraId="44A465E5">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对加密信息进行解密</w:t>
            </w:r>
          </w:p>
        </w:tc>
      </w:tr>
      <w:tr w14:paraId="36C14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657F412B">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24BD8D6A">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14:30-15:00</w:t>
            </w:r>
          </w:p>
        </w:tc>
        <w:tc>
          <w:tcPr>
            <w:tcW w:w="978" w:type="pct"/>
            <w:tcBorders>
              <w:tl2br w:val="nil"/>
              <w:tr2bl w:val="nil"/>
            </w:tcBorders>
            <w:vAlign w:val="center"/>
          </w:tcPr>
          <w:p w14:paraId="0948A614">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成绩确认</w:t>
            </w:r>
          </w:p>
        </w:tc>
        <w:tc>
          <w:tcPr>
            <w:tcW w:w="2198" w:type="pct"/>
            <w:tcBorders>
              <w:tl2br w:val="nil"/>
              <w:tr2bl w:val="nil"/>
            </w:tcBorders>
            <w:vAlign w:val="center"/>
          </w:tcPr>
          <w:p w14:paraId="0E9A8E63">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对成绩确认并封存。</w:t>
            </w:r>
          </w:p>
        </w:tc>
      </w:tr>
      <w:tr w14:paraId="5BAE7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2DD92324">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p>
        </w:tc>
        <w:tc>
          <w:tcPr>
            <w:tcW w:w="912" w:type="pct"/>
            <w:tcBorders>
              <w:tl2br w:val="nil"/>
              <w:tr2bl w:val="nil"/>
            </w:tcBorders>
            <w:vAlign w:val="center"/>
          </w:tcPr>
          <w:p w14:paraId="1FDC5C22">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15:00</w:t>
            </w:r>
          </w:p>
        </w:tc>
        <w:tc>
          <w:tcPr>
            <w:tcW w:w="978" w:type="pct"/>
            <w:tcBorders>
              <w:tl2br w:val="nil"/>
              <w:tr2bl w:val="nil"/>
            </w:tcBorders>
            <w:vAlign w:val="center"/>
          </w:tcPr>
          <w:p w14:paraId="4C680C09">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成绩汇总、公布</w:t>
            </w:r>
          </w:p>
        </w:tc>
        <w:tc>
          <w:tcPr>
            <w:tcW w:w="2198" w:type="pct"/>
            <w:tcBorders>
              <w:tl2br w:val="nil"/>
              <w:tr2bl w:val="nil"/>
            </w:tcBorders>
            <w:vAlign w:val="center"/>
          </w:tcPr>
          <w:p w14:paraId="7BDE23C8">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成绩汇总、</w:t>
            </w:r>
            <w:r>
              <w:rPr>
                <w:rFonts w:hint="eastAsia" w:ascii="仿宋_GB2312" w:hAnsi="仿宋_GB2312" w:eastAsia="仿宋_GB2312" w:cs="仿宋_GB2312"/>
                <w:sz w:val="24"/>
                <w:shd w:val="clear" w:color="auto" w:fill="FFFFFF"/>
              </w:rPr>
              <w:t>公布成绩</w:t>
            </w:r>
          </w:p>
        </w:tc>
      </w:tr>
    </w:tbl>
    <w:p w14:paraId="4737CA7E">
      <w:pPr>
        <w:pageBreakBefore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注：根据工位数和参赛选手人数增/减竞赛场次。</w:t>
      </w:r>
    </w:p>
    <w:p w14:paraId="28BF74E1">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（三）竞赛过程</w:t>
      </w:r>
    </w:p>
    <w:p w14:paraId="6B3A77B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1.参赛选手入场和就位</w:t>
      </w:r>
    </w:p>
    <w:p w14:paraId="66D94224">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参赛选手使用报到时领取的抽签号，进行一级加密顺序号及二级加密赛位号的抽取，入场时赛位号进行检录查询赛场的位置，并按照工位位置就位等候比赛开始；</w:t>
      </w:r>
    </w:p>
    <w:p w14:paraId="6668B5B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2.竞赛过程</w:t>
      </w:r>
    </w:p>
    <w:p w14:paraId="31A79AC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在裁判长宣布比赛开始后，各参赛选手通过赛位号找到比赛工位，正式进行竞赛，按照每个工位提供的任务书上的项目要求，完成每个项目任务要求，并按照任务要求提交和保存竞赛结果；</w:t>
      </w:r>
    </w:p>
    <w:p w14:paraId="4B79B273">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3.竞赛结束</w:t>
      </w:r>
    </w:p>
    <w:p w14:paraId="5F6AF5C9">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28"/>
          <w:szCs w:val="30"/>
        </w:rPr>
        <w:t>在竞赛规定时间到达后，裁判长会宣布竞赛结束，每个竞赛工位设备锁定，参赛选手停止所有操作，并按照裁判组要求有次序的离开竞赛场地。</w:t>
      </w:r>
    </w:p>
    <w:p w14:paraId="6869025D">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六、竞赛试题</w:t>
      </w:r>
    </w:p>
    <w:p w14:paraId="4051063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本赛项的命题工作由赛项执委会指定的命题专家组负责，按照竞赛规程的内容要求，在方向和难度上依据教育部颁发的职业院校相关专业人才培养标准和国家职业标准，结合物联网人才培养要求和物联网企业岗位需要进行设计，命题专家在完成命题后，交由赛项执委会指定的专家进行审核。</w:t>
      </w:r>
    </w:p>
    <w:p w14:paraId="6A175DF0">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七、竞赛规则</w:t>
      </w:r>
    </w:p>
    <w:p w14:paraId="2EB226A0">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1.参赛选手应在竞赛日程规定的时间熟悉竞赛场地，选手可进入竞赛场地及工位熟悉。</w:t>
      </w:r>
    </w:p>
    <w:p w14:paraId="7CBA91E5">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2.参赛队熟悉竞赛场地后，认为所提供的设备、工具等不符合竞赛规定或有异议时，参赛队领队必须在1小时内提出书面报告，送交赛项执委会进行处理，超过时效将不予受理。</w:t>
      </w:r>
    </w:p>
    <w:p w14:paraId="62B5ECB2">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参赛选手须提前20分钟入场，入场必须佩戴参赛证并出示身份证和学生证。不得私自携带任何软硬件工具（各种便携式电脑、各种移动存储设备等）、技术资源和通信工具。按工位号入座，检查比赛所需竞赛设备齐全后，由参赛选手签字确认方可开始比赛。选手在比赛中应注意随时存盘。迟到超过10分钟不得入场。竞赛期间不准出场，竞赛结束后方可离场。</w:t>
      </w:r>
    </w:p>
    <w:p w14:paraId="533FC115">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竞赛过程中，每个参赛队内部成员之间可以互相沟通，但不得与任何其它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3AC1F97B">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5.竞赛过程中除裁判和其他必须进入考场的工作人员外，任何其它非竞赛选手不得进入竞赛场地。</w:t>
      </w:r>
    </w:p>
    <w:p w14:paraId="3C0D216B">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6.竞赛赛程结束（或提前完成）后，参赛队要确认成功提交竞赛要求的文件，裁判员与参赛队队长一起签字确认，参赛队在确认后不得再进行任何操作。</w:t>
      </w:r>
    </w:p>
    <w:p w14:paraId="638690BC">
      <w:pPr>
        <w:pageBreakBefore w:val="0"/>
        <w:widowControl/>
        <w:kinsoku/>
        <w:wordWrap/>
        <w:overflowPunct/>
        <w:topLinePunct w:val="0"/>
        <w:autoSpaceDE/>
        <w:autoSpaceDN/>
        <w:bidi w:val="0"/>
        <w:spacing w:line="560" w:lineRule="exact"/>
        <w:ind w:firstLine="560" w:firstLineChars="200"/>
        <w:textAlignment w:val="auto"/>
        <w:outlineLvl w:val="1"/>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7.成绩公示与公布</w:t>
      </w:r>
    </w:p>
    <w:p w14:paraId="3C7383E8">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30"/>
        </w:rPr>
        <w:t>赛项成绩解密后汇总后，经裁判长签字，在赛项执委会指定的地点，以纸质形式向全体参赛队进行公布。</w:t>
      </w:r>
    </w:p>
    <w:p w14:paraId="21E9A3A3">
      <w:pPr>
        <w:pageBreakBefore w:val="0"/>
        <w:widowControl/>
        <w:kinsoku/>
        <w:wordWrap/>
        <w:overflowPunct/>
        <w:topLinePunct w:val="0"/>
        <w:autoSpaceDE/>
        <w:autoSpaceDN/>
        <w:bidi w:val="0"/>
        <w:spacing w:line="560" w:lineRule="exact"/>
        <w:ind w:firstLine="560" w:firstLineChars="200"/>
        <w:textAlignment w:val="auto"/>
        <w:outlineLvl w:val="1"/>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8.其他</w:t>
      </w:r>
    </w:p>
    <w:p w14:paraId="5A356CB3">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1.参赛选手应严格遵守赛场纪律，服从指挥，着装整洁，仪表端庄，讲文明礼貌。各地代表队之间应团结、友好、协作，避免各种矛盾发生。</w:t>
      </w:r>
    </w:p>
    <w:p w14:paraId="7EE5277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kern w:val="0"/>
          <w:sz w:val="28"/>
          <w:szCs w:val="28"/>
        </w:rPr>
        <w:t>2.其它未尽事宜，将在竞赛指南或赛前说明会向各领队做详细说明。</w:t>
      </w:r>
    </w:p>
    <w:p w14:paraId="74AAE82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八、竞赛环境</w:t>
      </w:r>
    </w:p>
    <w:p w14:paraId="06F15CE3">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1.竞赛场地。竞赛现场设置竞赛区、裁判区、服务区、技术支持区。现场保证良好的采光、照明和通风；提供稳定的水、电和供电应急设备。同时提供所有指导教师休息室1间。</w:t>
      </w:r>
    </w:p>
    <w:p w14:paraId="5DEC9E5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2.竞赛设备。所有竞赛设备由赛项执委会负责提供和保障，竞赛区按照参赛队数量准备比赛所需的软硬件平台，为参赛队提供标准竞赛设备。</w:t>
      </w:r>
    </w:p>
    <w:p w14:paraId="128760F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3.竞赛工位。竞赛现场各个工作区配备单相220V/3A以上交流电源。每个比赛工位上标明编号。每个比赛间配有工作台，用于摆放计算机和其它调试设备工具等。配备2把工作椅（凳）。</w:t>
      </w:r>
    </w:p>
    <w:p w14:paraId="5B6C37E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4.技术支持区为参赛选手提供公用备件等竞赛相关设备。</w:t>
      </w:r>
    </w:p>
    <w:p w14:paraId="7B5E320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5.服务区提供医疗等服务保障。</w:t>
      </w:r>
    </w:p>
    <w:p w14:paraId="3AF2AD23">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九、技术规范</w:t>
      </w:r>
    </w:p>
    <w:p w14:paraId="4E15500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30"/>
        </w:rPr>
        <w:t>竞赛项目的命题结合企业职业岗位对人才培养需求，并参照以下相关标准制定：</w:t>
      </w:r>
    </w:p>
    <w:p w14:paraId="189E12F0">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IEEE802.11a/b/g/n Wi-Fi 标准</w:t>
      </w:r>
    </w:p>
    <w:p w14:paraId="2DE90E0C">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IEEE802.15.1 低功耗蓝牙技术标准</w:t>
      </w:r>
    </w:p>
    <w:p w14:paraId="56C2F2AA">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IEEE802.15.4 ZigBee 标准规范</w:t>
      </w:r>
    </w:p>
    <w:p w14:paraId="666DF2B0">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3GPP NB-IoT 标准协议</w:t>
      </w:r>
    </w:p>
    <w:p w14:paraId="01E9D11A">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ITU-T Y.4000/Y.2060 (06/2012) Overview of the Internet of things 物联网概述</w:t>
      </w:r>
    </w:p>
    <w:p w14:paraId="1704453B">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ISO/IEC 30141:2018 Internet of Things (loT) - Reference Architecture 物联网参考体系结构</w:t>
      </w:r>
    </w:p>
    <w:p w14:paraId="0539E503">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ISO/IEC 29182-5-2013 信息技术-传感器网络：传感器网络参考体系结构</w:t>
      </w:r>
    </w:p>
    <w:p w14:paraId="14C8FBF9">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GB/T 33474-2016 物联网参考体系结构</w:t>
      </w:r>
    </w:p>
    <w:p w14:paraId="1970865F">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GB50311-2016 综合布线系统工程设计规范</w:t>
      </w:r>
    </w:p>
    <w:p w14:paraId="3AB4E0CD">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GB21671-2008 基于以太网技术的局域网系统验收测评规范</w:t>
      </w:r>
    </w:p>
    <w:p w14:paraId="4B0B0587">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GB/T34068-2017 物联网总体技术智能传感器接口规范</w:t>
      </w:r>
    </w:p>
    <w:p w14:paraId="19A490F7">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GB/T33745-2017 物联网术语</w:t>
      </w:r>
    </w:p>
    <w:p w14:paraId="09A22193">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GB/T51243-2017 物联网应用支撑平台工程技术标准</w:t>
      </w:r>
    </w:p>
    <w:p w14:paraId="04BFEA48">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GB/T38624.1-2020 物联网网关第1部分:面向感知设备接入的网关技术要求</w:t>
      </w:r>
    </w:p>
    <w:p w14:paraId="10BBF565">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GB/T19582.2-2008 基于 Modbus 协议的工业自动化网络规范</w:t>
      </w:r>
    </w:p>
    <w:p w14:paraId="19331CEF">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《物联网安装调试员国家职业技能标准》</w:t>
      </w:r>
    </w:p>
    <w:p w14:paraId="5C74A24A">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《物联网工程技术人员国家职业技术技能标准》</w:t>
      </w:r>
    </w:p>
    <w:p w14:paraId="03AF2428">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1+X 职业技能等级标准：传感网应用开发</w:t>
      </w:r>
    </w:p>
    <w:p w14:paraId="3A5ABBF6">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1+X 职业技能等级标准：物联网工程实施与运维</w:t>
      </w:r>
    </w:p>
    <w:p w14:paraId="0620211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十、技术平台</w:t>
      </w:r>
    </w:p>
    <w:p w14:paraId="2D60D31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（一）通用计算机环境</w:t>
      </w:r>
    </w:p>
    <w:p w14:paraId="4E3EC65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个人计算机（ PC 机）， 配置不低于以下参数：</w:t>
      </w:r>
    </w:p>
    <w:p w14:paraId="7D5CD55D">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CPU：Intel i5；</w:t>
      </w:r>
    </w:p>
    <w:p w14:paraId="6D3AD59C">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内存容量：8G；</w:t>
      </w:r>
    </w:p>
    <w:p w14:paraId="42B3C03B">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硬盘：256G固态盘；</w:t>
      </w:r>
    </w:p>
    <w:p w14:paraId="41EFBC29">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接口：1 个串口，4个USB端口。</w:t>
      </w:r>
    </w:p>
    <w:p w14:paraId="085EABCA">
      <w:pPr>
        <w:pageBreakBefore w:val="0"/>
        <w:numPr>
          <w:ilvl w:val="0"/>
          <w:numId w:val="3"/>
        </w:numPr>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个人计算机配备不低于以下版本的软件：</w:t>
      </w:r>
      <w:r>
        <w:rPr>
          <w:rFonts w:hint="eastAsia" w:ascii="仿宋_GB2312" w:hAnsi="仿宋_GB2312" w:eastAsia="仿宋_GB2312" w:cs="仿宋_GB2312"/>
        </w:rPr>
        <w:t xml:space="preserve"> </w:t>
      </w:r>
    </w:p>
    <w:tbl>
      <w:tblPr>
        <w:tblStyle w:val="10"/>
        <w:tblW w:w="5038" w:type="pct"/>
        <w:jc w:val="center"/>
        <w:tblLayout w:type="autofit"/>
        <w:tblCellMar>
          <w:top w:w="0" w:type="dxa"/>
          <w:left w:w="108" w:type="dxa"/>
          <w:bottom w:w="0" w:type="dxa"/>
          <w:right w:w="108" w:type="dxa"/>
        </w:tblCellMar>
      </w:tblPr>
      <w:tblGrid>
        <w:gridCol w:w="776"/>
        <w:gridCol w:w="1111"/>
        <w:gridCol w:w="5971"/>
        <w:gridCol w:w="729"/>
      </w:tblGrid>
      <w:tr w14:paraId="4A862F9C">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14:paraId="0D2AE82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647" w:type="pct"/>
            <w:tcBorders>
              <w:top w:val="single" w:color="auto" w:sz="4" w:space="0"/>
              <w:left w:val="nil"/>
              <w:bottom w:val="single" w:color="auto" w:sz="4" w:space="0"/>
              <w:right w:val="single" w:color="auto" w:sz="4" w:space="0"/>
            </w:tcBorders>
            <w:vAlign w:val="center"/>
          </w:tcPr>
          <w:p w14:paraId="71BC2A5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类别</w:t>
            </w:r>
          </w:p>
        </w:tc>
        <w:tc>
          <w:tcPr>
            <w:tcW w:w="3477" w:type="pct"/>
            <w:tcBorders>
              <w:top w:val="single" w:color="auto" w:sz="4" w:space="0"/>
              <w:left w:val="nil"/>
              <w:bottom w:val="single" w:color="auto" w:sz="4" w:space="0"/>
              <w:right w:val="single" w:color="auto" w:sz="4" w:space="0"/>
            </w:tcBorders>
            <w:vAlign w:val="center"/>
          </w:tcPr>
          <w:p w14:paraId="67CF30A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w:t>
            </w:r>
          </w:p>
        </w:tc>
        <w:tc>
          <w:tcPr>
            <w:tcW w:w="424" w:type="pct"/>
            <w:tcBorders>
              <w:top w:val="single" w:color="auto" w:sz="4" w:space="0"/>
              <w:left w:val="nil"/>
              <w:bottom w:val="single" w:color="auto" w:sz="4" w:space="0"/>
              <w:right w:val="single" w:color="auto" w:sz="4" w:space="0"/>
            </w:tcBorders>
            <w:vAlign w:val="center"/>
          </w:tcPr>
          <w:p w14:paraId="0A08748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w:t>
            </w:r>
          </w:p>
        </w:tc>
      </w:tr>
      <w:tr w14:paraId="4DAFB1B1">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334F5F9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647" w:type="pct"/>
            <w:tcBorders>
              <w:top w:val="nil"/>
              <w:left w:val="nil"/>
              <w:bottom w:val="single" w:color="auto" w:sz="4" w:space="0"/>
              <w:right w:val="single" w:color="auto" w:sz="4" w:space="0"/>
            </w:tcBorders>
          </w:tcPr>
          <w:p w14:paraId="69AD889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vAlign w:val="center"/>
          </w:tcPr>
          <w:p w14:paraId="3E3762D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Microsoft windows 10（64位）</w:t>
            </w:r>
          </w:p>
        </w:tc>
        <w:tc>
          <w:tcPr>
            <w:tcW w:w="424" w:type="pct"/>
            <w:tcBorders>
              <w:top w:val="nil"/>
              <w:left w:val="nil"/>
              <w:bottom w:val="single" w:color="auto" w:sz="4" w:space="0"/>
              <w:right w:val="single" w:color="auto" w:sz="4" w:space="0"/>
            </w:tcBorders>
            <w:vAlign w:val="center"/>
          </w:tcPr>
          <w:p w14:paraId="6A9F15A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4ACD623F">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tcPr>
          <w:p w14:paraId="36AB59A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647" w:type="pct"/>
            <w:tcBorders>
              <w:top w:val="single" w:color="auto" w:sz="4" w:space="0"/>
              <w:left w:val="single" w:color="auto" w:sz="4" w:space="0"/>
              <w:bottom w:val="single" w:color="auto" w:sz="4" w:space="0"/>
              <w:right w:val="single" w:color="auto" w:sz="4" w:space="0"/>
            </w:tcBorders>
          </w:tcPr>
          <w:p w14:paraId="31D225A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single" w:color="auto" w:sz="4" w:space="0"/>
              <w:left w:val="single" w:color="auto" w:sz="4" w:space="0"/>
              <w:bottom w:val="single" w:color="auto" w:sz="4" w:space="0"/>
              <w:right w:val="single" w:color="auto" w:sz="4" w:space="0"/>
            </w:tcBorders>
            <w:vAlign w:val="center"/>
          </w:tcPr>
          <w:p w14:paraId="1F1FBB5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Ubuntu 18.4</w:t>
            </w:r>
            <w:r>
              <w:rPr>
                <w:rFonts w:hint="eastAsia" w:ascii="仿宋_GB2312" w:hAnsi="仿宋_GB2312" w:eastAsia="仿宋_GB2312" w:cs="仿宋_GB2312"/>
                <w:sz w:val="24"/>
              </w:rPr>
              <w:t>（及以上）</w:t>
            </w:r>
          </w:p>
        </w:tc>
        <w:tc>
          <w:tcPr>
            <w:tcW w:w="424" w:type="pct"/>
            <w:tcBorders>
              <w:top w:val="single" w:color="auto" w:sz="4" w:space="0"/>
              <w:left w:val="single" w:color="auto" w:sz="4" w:space="0"/>
              <w:bottom w:val="single" w:color="auto" w:sz="4" w:space="0"/>
              <w:right w:val="single" w:color="auto" w:sz="4" w:space="0"/>
            </w:tcBorders>
            <w:vAlign w:val="center"/>
          </w:tcPr>
          <w:p w14:paraId="191FC53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6CDB4923">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tcPr>
          <w:p w14:paraId="5D1DDD4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647" w:type="pct"/>
            <w:tcBorders>
              <w:top w:val="single" w:color="auto" w:sz="4" w:space="0"/>
              <w:left w:val="nil"/>
              <w:bottom w:val="single" w:color="auto" w:sz="4" w:space="0"/>
              <w:right w:val="single" w:color="auto" w:sz="4" w:space="0"/>
            </w:tcBorders>
          </w:tcPr>
          <w:p w14:paraId="69FFAF2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single" w:color="auto" w:sz="4" w:space="0"/>
              <w:left w:val="nil"/>
              <w:bottom w:val="single" w:color="auto" w:sz="4" w:space="0"/>
              <w:right w:val="single" w:color="auto" w:sz="4" w:space="0"/>
            </w:tcBorders>
            <w:vAlign w:val="center"/>
          </w:tcPr>
          <w:p w14:paraId="619A283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Microsoft Office 2016</w:t>
            </w:r>
          </w:p>
        </w:tc>
        <w:tc>
          <w:tcPr>
            <w:tcW w:w="424" w:type="pct"/>
            <w:tcBorders>
              <w:top w:val="single" w:color="auto" w:sz="4" w:space="0"/>
              <w:left w:val="nil"/>
              <w:bottom w:val="single" w:color="auto" w:sz="4" w:space="0"/>
              <w:right w:val="single" w:color="auto" w:sz="4" w:space="0"/>
            </w:tcBorders>
            <w:vAlign w:val="center"/>
          </w:tcPr>
          <w:p w14:paraId="1B694F0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29FD2CAB">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120411C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647" w:type="pct"/>
            <w:tcBorders>
              <w:top w:val="nil"/>
              <w:left w:val="nil"/>
              <w:bottom w:val="single" w:color="auto" w:sz="4" w:space="0"/>
              <w:right w:val="single" w:color="auto" w:sz="4" w:space="0"/>
            </w:tcBorders>
          </w:tcPr>
          <w:p w14:paraId="401D37D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vAlign w:val="center"/>
          </w:tcPr>
          <w:p w14:paraId="56CBF40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Microsoft Visio 2016</w:t>
            </w:r>
          </w:p>
        </w:tc>
        <w:tc>
          <w:tcPr>
            <w:tcW w:w="424" w:type="pct"/>
            <w:tcBorders>
              <w:top w:val="nil"/>
              <w:left w:val="nil"/>
              <w:bottom w:val="single" w:color="auto" w:sz="4" w:space="0"/>
              <w:right w:val="single" w:color="auto" w:sz="4" w:space="0"/>
            </w:tcBorders>
            <w:vAlign w:val="center"/>
          </w:tcPr>
          <w:p w14:paraId="18BBB6A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10463947">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107CF0BF">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647" w:type="pct"/>
            <w:tcBorders>
              <w:top w:val="nil"/>
              <w:left w:val="nil"/>
              <w:bottom w:val="single" w:color="auto" w:sz="4" w:space="0"/>
              <w:right w:val="single" w:color="auto" w:sz="4" w:space="0"/>
            </w:tcBorders>
            <w:vAlign w:val="center"/>
          </w:tcPr>
          <w:p w14:paraId="2D684BB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vAlign w:val="center"/>
          </w:tcPr>
          <w:p w14:paraId="739BA3C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IAR Embedded Workbench for 8051 8.10.1</w:t>
            </w:r>
          </w:p>
        </w:tc>
        <w:tc>
          <w:tcPr>
            <w:tcW w:w="424" w:type="pct"/>
            <w:tcBorders>
              <w:top w:val="nil"/>
              <w:left w:val="nil"/>
              <w:bottom w:val="single" w:color="auto" w:sz="4" w:space="0"/>
              <w:right w:val="single" w:color="auto" w:sz="4" w:space="0"/>
            </w:tcBorders>
            <w:vAlign w:val="center"/>
          </w:tcPr>
          <w:p w14:paraId="447743B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10B47512">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2047E4D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647" w:type="pct"/>
            <w:tcBorders>
              <w:top w:val="nil"/>
              <w:left w:val="nil"/>
              <w:bottom w:val="single" w:color="auto" w:sz="4" w:space="0"/>
              <w:right w:val="single" w:color="auto" w:sz="4" w:space="0"/>
            </w:tcBorders>
            <w:vAlign w:val="center"/>
          </w:tcPr>
          <w:p w14:paraId="7BA8F4BF">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vAlign w:val="center"/>
          </w:tcPr>
          <w:p w14:paraId="0D1B77EF">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Keil uVision 5</w:t>
            </w:r>
          </w:p>
        </w:tc>
        <w:tc>
          <w:tcPr>
            <w:tcW w:w="424" w:type="pct"/>
            <w:tcBorders>
              <w:top w:val="nil"/>
              <w:left w:val="nil"/>
              <w:bottom w:val="single" w:color="auto" w:sz="4" w:space="0"/>
              <w:right w:val="single" w:color="auto" w:sz="4" w:space="0"/>
            </w:tcBorders>
            <w:vAlign w:val="center"/>
          </w:tcPr>
          <w:p w14:paraId="61A068F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5C9D8E32">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4745B6D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647" w:type="pct"/>
            <w:tcBorders>
              <w:top w:val="nil"/>
              <w:left w:val="nil"/>
              <w:bottom w:val="single" w:color="auto" w:sz="4" w:space="0"/>
              <w:right w:val="single" w:color="auto" w:sz="4" w:space="0"/>
            </w:tcBorders>
            <w:vAlign w:val="center"/>
          </w:tcPr>
          <w:p w14:paraId="43F21B1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vAlign w:val="center"/>
          </w:tcPr>
          <w:p w14:paraId="7F8201B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VSCode 1.52及以上</w:t>
            </w:r>
          </w:p>
        </w:tc>
        <w:tc>
          <w:tcPr>
            <w:tcW w:w="424" w:type="pct"/>
            <w:tcBorders>
              <w:top w:val="nil"/>
              <w:left w:val="nil"/>
              <w:bottom w:val="single" w:color="auto" w:sz="4" w:space="0"/>
              <w:right w:val="single" w:color="auto" w:sz="4" w:space="0"/>
            </w:tcBorders>
            <w:vAlign w:val="center"/>
          </w:tcPr>
          <w:p w14:paraId="5C079D6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1FA32F69">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619900F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647" w:type="pct"/>
            <w:tcBorders>
              <w:top w:val="nil"/>
              <w:left w:val="nil"/>
              <w:bottom w:val="single" w:color="auto" w:sz="4" w:space="0"/>
              <w:right w:val="single" w:color="auto" w:sz="4" w:space="0"/>
            </w:tcBorders>
            <w:vAlign w:val="center"/>
          </w:tcPr>
          <w:p w14:paraId="0CA5A2A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vAlign w:val="center"/>
          </w:tcPr>
          <w:p w14:paraId="6CFEEBB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Python 3.6</w:t>
            </w:r>
          </w:p>
        </w:tc>
        <w:tc>
          <w:tcPr>
            <w:tcW w:w="424" w:type="pct"/>
            <w:tcBorders>
              <w:top w:val="nil"/>
              <w:left w:val="nil"/>
              <w:bottom w:val="single" w:color="auto" w:sz="4" w:space="0"/>
              <w:right w:val="single" w:color="auto" w:sz="4" w:space="0"/>
            </w:tcBorders>
            <w:vAlign w:val="center"/>
          </w:tcPr>
          <w:p w14:paraId="165BF49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5C14731F">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2C9A39C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647" w:type="pct"/>
            <w:tcBorders>
              <w:top w:val="nil"/>
              <w:left w:val="nil"/>
              <w:bottom w:val="single" w:color="auto" w:sz="4" w:space="0"/>
              <w:right w:val="single" w:color="auto" w:sz="4" w:space="0"/>
            </w:tcBorders>
            <w:vAlign w:val="center"/>
          </w:tcPr>
          <w:p w14:paraId="3A3490C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tcPr>
          <w:p w14:paraId="5A8747F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PyCharm社区版 2022.1</w:t>
            </w:r>
          </w:p>
        </w:tc>
        <w:tc>
          <w:tcPr>
            <w:tcW w:w="424" w:type="pct"/>
            <w:tcBorders>
              <w:top w:val="nil"/>
              <w:left w:val="nil"/>
              <w:bottom w:val="single" w:color="auto" w:sz="4" w:space="0"/>
              <w:right w:val="single" w:color="auto" w:sz="4" w:space="0"/>
            </w:tcBorders>
            <w:vAlign w:val="center"/>
          </w:tcPr>
          <w:p w14:paraId="2E9AC38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130E2D57">
        <w:tblPrEx>
          <w:tblCellMar>
            <w:top w:w="0" w:type="dxa"/>
            <w:left w:w="108" w:type="dxa"/>
            <w:bottom w:w="0" w:type="dxa"/>
            <w:right w:w="108" w:type="dxa"/>
          </w:tblCellMar>
        </w:tblPrEx>
        <w:trPr>
          <w:trHeight w:val="120" w:hRule="atLeast"/>
          <w:jc w:val="center"/>
        </w:trPr>
        <w:tc>
          <w:tcPr>
            <w:tcW w:w="452" w:type="pct"/>
            <w:tcBorders>
              <w:top w:val="nil"/>
              <w:left w:val="single" w:color="auto" w:sz="4" w:space="0"/>
              <w:bottom w:val="single" w:color="auto" w:sz="4" w:space="0"/>
              <w:right w:val="single" w:color="auto" w:sz="4" w:space="0"/>
            </w:tcBorders>
            <w:vAlign w:val="center"/>
          </w:tcPr>
          <w:p w14:paraId="4732012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647" w:type="pct"/>
            <w:tcBorders>
              <w:top w:val="nil"/>
              <w:left w:val="nil"/>
              <w:bottom w:val="single" w:color="auto" w:sz="4" w:space="0"/>
              <w:right w:val="single" w:color="auto" w:sz="4" w:space="0"/>
            </w:tcBorders>
            <w:vAlign w:val="center"/>
          </w:tcPr>
          <w:p w14:paraId="357335A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tcPr>
          <w:p w14:paraId="126AC1E8">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Internet Information Services(IIS)</w:t>
            </w:r>
          </w:p>
        </w:tc>
        <w:tc>
          <w:tcPr>
            <w:tcW w:w="424" w:type="pct"/>
            <w:tcBorders>
              <w:top w:val="nil"/>
              <w:left w:val="nil"/>
              <w:bottom w:val="single" w:color="auto" w:sz="4" w:space="0"/>
              <w:right w:val="single" w:color="auto" w:sz="4" w:space="0"/>
            </w:tcBorders>
            <w:vAlign w:val="center"/>
          </w:tcPr>
          <w:p w14:paraId="6CB17CA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7F2CB1FF">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09DD210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647" w:type="pct"/>
            <w:tcBorders>
              <w:top w:val="nil"/>
              <w:left w:val="nil"/>
              <w:bottom w:val="single" w:color="auto" w:sz="4" w:space="0"/>
              <w:right w:val="single" w:color="auto" w:sz="4" w:space="0"/>
            </w:tcBorders>
            <w:vAlign w:val="center"/>
          </w:tcPr>
          <w:p w14:paraId="7DC6015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nil"/>
              <w:left w:val="nil"/>
              <w:bottom w:val="single" w:color="auto" w:sz="4" w:space="0"/>
              <w:right w:val="single" w:color="auto" w:sz="4" w:space="0"/>
            </w:tcBorders>
          </w:tcPr>
          <w:p w14:paraId="0F5FD38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SQL Server 2008（及以上）</w:t>
            </w:r>
          </w:p>
        </w:tc>
        <w:tc>
          <w:tcPr>
            <w:tcW w:w="424" w:type="pct"/>
            <w:tcBorders>
              <w:top w:val="nil"/>
              <w:left w:val="nil"/>
              <w:bottom w:val="single" w:color="auto" w:sz="4" w:space="0"/>
              <w:right w:val="single" w:color="auto" w:sz="4" w:space="0"/>
            </w:tcBorders>
            <w:vAlign w:val="center"/>
          </w:tcPr>
          <w:p w14:paraId="1BA9958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382A20DE">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14:paraId="03585A7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647" w:type="pct"/>
            <w:tcBorders>
              <w:top w:val="single" w:color="auto" w:sz="4" w:space="0"/>
              <w:left w:val="nil"/>
              <w:bottom w:val="single" w:color="auto" w:sz="4" w:space="0"/>
              <w:right w:val="single" w:color="auto" w:sz="4" w:space="0"/>
            </w:tcBorders>
            <w:vAlign w:val="center"/>
          </w:tcPr>
          <w:p w14:paraId="5AD8437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软件</w:t>
            </w:r>
          </w:p>
        </w:tc>
        <w:tc>
          <w:tcPr>
            <w:tcW w:w="3477" w:type="pct"/>
            <w:tcBorders>
              <w:top w:val="single" w:color="auto" w:sz="4" w:space="0"/>
              <w:left w:val="nil"/>
              <w:bottom w:val="single" w:color="auto" w:sz="4" w:space="0"/>
              <w:right w:val="single" w:color="auto" w:sz="4" w:space="0"/>
            </w:tcBorders>
            <w:vAlign w:val="center"/>
          </w:tcPr>
          <w:p w14:paraId="546B008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调试软件、网络扫描、侦听工具、串口调试助手等</w:t>
            </w:r>
          </w:p>
        </w:tc>
        <w:tc>
          <w:tcPr>
            <w:tcW w:w="424" w:type="pct"/>
            <w:tcBorders>
              <w:top w:val="single" w:color="auto" w:sz="4" w:space="0"/>
              <w:left w:val="nil"/>
              <w:bottom w:val="single" w:color="auto" w:sz="4" w:space="0"/>
              <w:right w:val="single" w:color="auto" w:sz="4" w:space="0"/>
            </w:tcBorders>
            <w:vAlign w:val="center"/>
          </w:tcPr>
          <w:p w14:paraId="761351E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bl>
    <w:p w14:paraId="54C4A5B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（二）竞赛设备</w:t>
      </w:r>
    </w:p>
    <w:tbl>
      <w:tblPr>
        <w:tblStyle w:val="10"/>
        <w:tblW w:w="50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3577"/>
        <w:gridCol w:w="1597"/>
        <w:gridCol w:w="2681"/>
      </w:tblGrid>
      <w:tr w14:paraId="71C7D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32E9E83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083" w:type="pct"/>
          </w:tcPr>
          <w:p w14:paraId="542FAA38">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设备名称</w:t>
            </w:r>
          </w:p>
        </w:tc>
        <w:tc>
          <w:tcPr>
            <w:tcW w:w="930" w:type="pct"/>
          </w:tcPr>
          <w:p w14:paraId="7030051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1561" w:type="pct"/>
          </w:tcPr>
          <w:p w14:paraId="3CAE997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w:t>
            </w:r>
          </w:p>
        </w:tc>
      </w:tr>
      <w:tr w14:paraId="57D8C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09E93F1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083" w:type="pct"/>
            <w:vAlign w:val="center"/>
          </w:tcPr>
          <w:p w14:paraId="25A1664F">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物联网全栈智能应用实训系统</w:t>
            </w:r>
          </w:p>
        </w:tc>
        <w:tc>
          <w:tcPr>
            <w:tcW w:w="930" w:type="pct"/>
            <w:vAlign w:val="center"/>
          </w:tcPr>
          <w:p w14:paraId="725FCDF9">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561" w:type="pct"/>
            <w:vAlign w:val="center"/>
          </w:tcPr>
          <w:p w14:paraId="64821CD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7829B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1EA7D3A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083" w:type="pct"/>
            <w:vAlign w:val="center"/>
          </w:tcPr>
          <w:p w14:paraId="0205765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物联网工具箱及耗材包</w:t>
            </w:r>
          </w:p>
        </w:tc>
        <w:tc>
          <w:tcPr>
            <w:tcW w:w="930" w:type="pct"/>
            <w:vAlign w:val="center"/>
          </w:tcPr>
          <w:p w14:paraId="2E0C360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套</w:t>
            </w:r>
          </w:p>
        </w:tc>
        <w:tc>
          <w:tcPr>
            <w:tcW w:w="1561" w:type="pct"/>
            <w:vAlign w:val="center"/>
          </w:tcPr>
          <w:p w14:paraId="187BD2F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r>
      <w:tr w14:paraId="19998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24314BD8">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083" w:type="pct"/>
            <w:vAlign w:val="center"/>
          </w:tcPr>
          <w:p w14:paraId="02C756A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工作台</w:t>
            </w:r>
          </w:p>
        </w:tc>
        <w:tc>
          <w:tcPr>
            <w:tcW w:w="930" w:type="pct"/>
            <w:vAlign w:val="center"/>
          </w:tcPr>
          <w:p w14:paraId="7239DB7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张</w:t>
            </w:r>
          </w:p>
        </w:tc>
        <w:tc>
          <w:tcPr>
            <w:tcW w:w="1561" w:type="pct"/>
            <w:vAlign w:val="center"/>
          </w:tcPr>
          <w:p w14:paraId="64F3F18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r>
      <w:tr w14:paraId="30F9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7DDD99D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083" w:type="pct"/>
            <w:vAlign w:val="center"/>
          </w:tcPr>
          <w:p w14:paraId="3414D83C">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计算机</w:t>
            </w:r>
          </w:p>
        </w:tc>
        <w:tc>
          <w:tcPr>
            <w:tcW w:w="930" w:type="pct"/>
            <w:vAlign w:val="center"/>
          </w:tcPr>
          <w:p w14:paraId="1CBF3C4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台</w:t>
            </w:r>
          </w:p>
        </w:tc>
        <w:tc>
          <w:tcPr>
            <w:tcW w:w="1561" w:type="pct"/>
            <w:vAlign w:val="center"/>
          </w:tcPr>
          <w:p w14:paraId="1379223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r>
    </w:tbl>
    <w:p w14:paraId="0545DC9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十一、成绩评定</w:t>
      </w:r>
    </w:p>
    <w:p w14:paraId="665ABEC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竞赛评分本着公平公正公开的原则，评分标准注重对参赛选手价值观与态度、物联网技术应用能力、团队协作与沟通及组织与管理能力的考察。以技能考核为主，兼顾团队协作精神和职业道德素养综合评定。</w:t>
      </w:r>
    </w:p>
    <w:p w14:paraId="4B17AEFF">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（一）评分规则</w:t>
      </w:r>
    </w:p>
    <w:p w14:paraId="79B7136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本项目评分标准分为：评价分（主观）、测量分（客观）。按各模块评分表分别设置评分小组，由裁判长指定各组裁判人员，分别对各模块进行评分。各评分小组负责所有选手同一指标的现场评分，并签字确认评分结果。</w:t>
      </w:r>
    </w:p>
    <w:p w14:paraId="6EBB7EA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1、评价分（主观）</w:t>
      </w:r>
    </w:p>
    <w:p w14:paraId="561E0AE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评价分（Judgement）打分方式：3名（N）及以上裁判为一组，各自单独评分，计算出平均权重分，除以3（N）后再乘以该子项的分值计算出实际得分。裁判相互间分差必须小于等于1分，否则需要给出确切理由并在小组长或裁判长的监督下进行调分。</w:t>
      </w:r>
    </w:p>
    <w:p w14:paraId="04D7FE8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权重表如下：</w:t>
      </w:r>
    </w:p>
    <w:tbl>
      <w:tblPr>
        <w:tblStyle w:val="10"/>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7012"/>
      </w:tblGrid>
      <w:tr w14:paraId="1A488A3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12" w:space="0"/>
              <w:left w:val="single" w:color="auto" w:sz="4" w:space="0"/>
              <w:bottom w:val="single" w:color="auto" w:sz="4" w:space="0"/>
            </w:tcBorders>
            <w:vAlign w:val="center"/>
          </w:tcPr>
          <w:p w14:paraId="60E3ED9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权重分值</w:t>
            </w:r>
          </w:p>
        </w:tc>
        <w:tc>
          <w:tcPr>
            <w:tcW w:w="4114" w:type="pct"/>
            <w:tcBorders>
              <w:top w:val="single" w:color="auto" w:sz="12" w:space="0"/>
              <w:bottom w:val="single" w:color="auto" w:sz="4" w:space="0"/>
              <w:right w:val="single" w:color="auto" w:sz="4" w:space="0"/>
            </w:tcBorders>
            <w:vAlign w:val="center"/>
          </w:tcPr>
          <w:p w14:paraId="18F6018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要求描述</w:t>
            </w:r>
          </w:p>
        </w:tc>
      </w:tr>
      <w:tr w14:paraId="6073CB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09C252C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0分</w:t>
            </w:r>
          </w:p>
        </w:tc>
        <w:tc>
          <w:tcPr>
            <w:tcW w:w="4114" w:type="pct"/>
            <w:tcBorders>
              <w:top w:val="single" w:color="auto" w:sz="4" w:space="0"/>
              <w:bottom w:val="single" w:color="auto" w:sz="4" w:space="0"/>
              <w:right w:val="single" w:color="auto" w:sz="4" w:space="0"/>
            </w:tcBorders>
            <w:vAlign w:val="center"/>
          </w:tcPr>
          <w:p w14:paraId="1607DF2A">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各方面均低于行业标准，包括“未做尝试”</w:t>
            </w:r>
          </w:p>
        </w:tc>
      </w:tr>
      <w:tr w14:paraId="58F5646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718947B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1分</w:t>
            </w:r>
          </w:p>
        </w:tc>
        <w:tc>
          <w:tcPr>
            <w:tcW w:w="4114" w:type="pct"/>
            <w:tcBorders>
              <w:top w:val="single" w:color="auto" w:sz="4" w:space="0"/>
              <w:bottom w:val="single" w:color="auto" w:sz="4" w:space="0"/>
              <w:right w:val="single" w:color="auto" w:sz="4" w:space="0"/>
            </w:tcBorders>
            <w:vAlign w:val="center"/>
          </w:tcPr>
          <w:p w14:paraId="21E049D7">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达到行业标准</w:t>
            </w:r>
          </w:p>
        </w:tc>
      </w:tr>
      <w:tr w14:paraId="2A84305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6600162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2分</w:t>
            </w:r>
          </w:p>
        </w:tc>
        <w:tc>
          <w:tcPr>
            <w:tcW w:w="4114" w:type="pct"/>
            <w:tcBorders>
              <w:top w:val="single" w:color="auto" w:sz="4" w:space="0"/>
              <w:bottom w:val="single" w:color="auto" w:sz="4" w:space="0"/>
              <w:right w:val="single" w:color="auto" w:sz="4" w:space="0"/>
            </w:tcBorders>
            <w:vAlign w:val="center"/>
          </w:tcPr>
          <w:p w14:paraId="5241CD61">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达到行业标准，且某些方面超过标准</w:t>
            </w:r>
          </w:p>
        </w:tc>
      </w:tr>
      <w:tr w14:paraId="59B3DDD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12" w:space="0"/>
            </w:tcBorders>
            <w:vAlign w:val="center"/>
          </w:tcPr>
          <w:p w14:paraId="2E0BE9C5">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3分</w:t>
            </w:r>
          </w:p>
        </w:tc>
        <w:tc>
          <w:tcPr>
            <w:tcW w:w="4114" w:type="pct"/>
            <w:tcBorders>
              <w:top w:val="single" w:color="auto" w:sz="4" w:space="0"/>
              <w:bottom w:val="single" w:color="auto" w:sz="12" w:space="0"/>
              <w:right w:val="single" w:color="auto" w:sz="4" w:space="0"/>
            </w:tcBorders>
            <w:vAlign w:val="center"/>
          </w:tcPr>
          <w:p w14:paraId="1923B55A">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达到行业期待的优秀水平</w:t>
            </w:r>
          </w:p>
        </w:tc>
      </w:tr>
    </w:tbl>
    <w:p w14:paraId="70AA4F47">
      <w:pPr>
        <w:pageBreakBefore w:val="0"/>
        <w:kinsoku/>
        <w:wordWrap/>
        <w:overflowPunct/>
        <w:topLinePunct w:val="0"/>
        <w:autoSpaceDE/>
        <w:autoSpaceDN/>
        <w:bidi w:val="0"/>
        <w:spacing w:line="56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（样例：X区连线整齐评价标准参考</w:t>
      </w:r>
      <w:r>
        <w:rPr>
          <w:rFonts w:hint="eastAsia" w:ascii="仿宋_GB2312" w:hAnsi="仿宋_GB2312" w:eastAsia="仿宋_GB2312" w:cs="仿宋_GB2312"/>
          <w:color w:val="000000"/>
          <w:kern w:val="0"/>
          <w:sz w:val="28"/>
          <w:szCs w:val="28"/>
        </w:rPr>
        <w:t>）</w:t>
      </w:r>
    </w:p>
    <w:tbl>
      <w:tblPr>
        <w:tblStyle w:val="10"/>
        <w:tblW w:w="85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7012"/>
      </w:tblGrid>
      <w:tr w14:paraId="298413F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12" w:space="0"/>
              <w:left w:val="single" w:color="auto" w:sz="4" w:space="0"/>
              <w:bottom w:val="single" w:color="auto" w:sz="4" w:space="0"/>
            </w:tcBorders>
            <w:vAlign w:val="center"/>
          </w:tcPr>
          <w:p w14:paraId="1841384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权重分值</w:t>
            </w:r>
          </w:p>
        </w:tc>
        <w:tc>
          <w:tcPr>
            <w:tcW w:w="7012" w:type="dxa"/>
            <w:tcBorders>
              <w:top w:val="single" w:color="auto" w:sz="12" w:space="0"/>
              <w:bottom w:val="single" w:color="auto" w:sz="4" w:space="0"/>
              <w:right w:val="single" w:color="auto" w:sz="4" w:space="0"/>
            </w:tcBorders>
            <w:vAlign w:val="center"/>
          </w:tcPr>
          <w:p w14:paraId="4F08F77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要求描述</w:t>
            </w:r>
          </w:p>
        </w:tc>
      </w:tr>
      <w:tr w14:paraId="5DB94F3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52D0C965">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0分</w:t>
            </w:r>
          </w:p>
        </w:tc>
        <w:tc>
          <w:tcPr>
            <w:tcW w:w="7012" w:type="dxa"/>
            <w:tcBorders>
              <w:top w:val="single" w:color="auto" w:sz="4" w:space="0"/>
              <w:bottom w:val="single" w:color="auto" w:sz="4" w:space="0"/>
              <w:right w:val="single" w:color="auto" w:sz="4" w:space="0"/>
            </w:tcBorders>
            <w:vAlign w:val="center"/>
          </w:tcPr>
          <w:p w14:paraId="25EC1260">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不接受（接线杂乱，未完成接线数量超过1根及以上）</w:t>
            </w:r>
          </w:p>
        </w:tc>
      </w:tr>
      <w:tr w14:paraId="4AF356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02DF85A0">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1分</w:t>
            </w:r>
          </w:p>
        </w:tc>
        <w:tc>
          <w:tcPr>
            <w:tcW w:w="7012" w:type="dxa"/>
            <w:tcBorders>
              <w:top w:val="single" w:color="auto" w:sz="4" w:space="0"/>
              <w:bottom w:val="single" w:color="auto" w:sz="4" w:space="0"/>
              <w:right w:val="single" w:color="auto" w:sz="4" w:space="0"/>
            </w:tcBorders>
            <w:vAlign w:val="center"/>
          </w:tcPr>
          <w:p w14:paraId="6CE1C691">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符合行业标准（能够在线槽中规范连线）</w:t>
            </w:r>
          </w:p>
        </w:tc>
      </w:tr>
      <w:tr w14:paraId="0B6207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6F9AE2A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2分</w:t>
            </w:r>
          </w:p>
        </w:tc>
        <w:tc>
          <w:tcPr>
            <w:tcW w:w="7012" w:type="dxa"/>
            <w:tcBorders>
              <w:top w:val="single" w:color="auto" w:sz="4" w:space="0"/>
              <w:bottom w:val="single" w:color="auto" w:sz="4" w:space="0"/>
              <w:right w:val="single" w:color="auto" w:sz="4" w:space="0"/>
            </w:tcBorders>
            <w:vAlign w:val="center"/>
          </w:tcPr>
          <w:p w14:paraId="3762B84D">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符合行业标准并略高与行业标准（设备接线合理，在线槽中规范连线。）</w:t>
            </w:r>
          </w:p>
        </w:tc>
      </w:tr>
      <w:tr w14:paraId="5622405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12" w:space="0"/>
            </w:tcBorders>
            <w:vAlign w:val="center"/>
          </w:tcPr>
          <w:p w14:paraId="5EA7924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3分</w:t>
            </w:r>
          </w:p>
        </w:tc>
        <w:tc>
          <w:tcPr>
            <w:tcW w:w="7012" w:type="dxa"/>
            <w:tcBorders>
              <w:top w:val="single" w:color="auto" w:sz="4" w:space="0"/>
              <w:bottom w:val="single" w:color="auto" w:sz="12" w:space="0"/>
              <w:right w:val="single" w:color="auto" w:sz="4" w:space="0"/>
            </w:tcBorders>
            <w:vAlign w:val="center"/>
          </w:tcPr>
          <w:p w14:paraId="337BCFCD">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rPr>
              <w:t>完美（设备接口之间接线规范、美观，方便维护）。</w:t>
            </w:r>
          </w:p>
        </w:tc>
      </w:tr>
    </w:tbl>
    <w:p w14:paraId="265B7AC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2、测量分（客观）</w:t>
      </w:r>
    </w:p>
    <w:p w14:paraId="02ADAA5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bookmarkStart w:id="2" w:name="OLE_LINK10"/>
      <w:bookmarkStart w:id="3" w:name="OLE_LINK9"/>
      <w:r>
        <w:rPr>
          <w:rFonts w:hint="eastAsia" w:ascii="仿宋_GB2312" w:hAnsi="仿宋_GB2312" w:eastAsia="仿宋_GB2312" w:cs="仿宋_GB2312"/>
          <w:sz w:val="28"/>
          <w:szCs w:val="30"/>
        </w:rPr>
        <w:t>测量分（Measurement）打分方式：按模块设置若干个评分组，每组由3名及以上裁判构成。每个组所有裁判一起商议，在对该选手在该项中的实际得分达成一致后最终只给出一个分值。若裁判数量较多，也可以另定分组模式。</w:t>
      </w:r>
    </w:p>
    <w:p w14:paraId="5C32D90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测量分评分准则样例表：</w:t>
      </w:r>
    </w:p>
    <w:bookmarkEnd w:id="2"/>
    <w:bookmarkEnd w:id="3"/>
    <w:tbl>
      <w:tblPr>
        <w:tblStyle w:val="10"/>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621"/>
        <w:gridCol w:w="2773"/>
        <w:gridCol w:w="1346"/>
        <w:gridCol w:w="1247"/>
        <w:gridCol w:w="1329"/>
      </w:tblGrid>
      <w:tr w14:paraId="6F047BFE">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4661CF5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类型</w:t>
            </w:r>
          </w:p>
        </w:tc>
        <w:tc>
          <w:tcPr>
            <w:tcW w:w="1667" w:type="pct"/>
            <w:tcBorders>
              <w:top w:val="single" w:color="000000" w:sz="12" w:space="0"/>
            </w:tcBorders>
            <w:vAlign w:val="center"/>
          </w:tcPr>
          <w:p w14:paraId="4EF2849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示例</w:t>
            </w:r>
          </w:p>
        </w:tc>
        <w:tc>
          <w:tcPr>
            <w:tcW w:w="809" w:type="pct"/>
            <w:tcBorders>
              <w:top w:val="single" w:color="000000" w:sz="12" w:space="0"/>
            </w:tcBorders>
            <w:vAlign w:val="center"/>
          </w:tcPr>
          <w:p w14:paraId="6EB05D3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最高分值</w:t>
            </w:r>
          </w:p>
        </w:tc>
        <w:tc>
          <w:tcPr>
            <w:tcW w:w="750" w:type="pct"/>
            <w:tcBorders>
              <w:top w:val="single" w:color="000000" w:sz="12" w:space="0"/>
            </w:tcBorders>
            <w:vAlign w:val="center"/>
          </w:tcPr>
          <w:p w14:paraId="70AE16C1">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正确分值</w:t>
            </w:r>
          </w:p>
        </w:tc>
        <w:tc>
          <w:tcPr>
            <w:tcW w:w="799" w:type="pct"/>
            <w:tcBorders>
              <w:top w:val="single" w:color="000000" w:sz="12" w:space="0"/>
              <w:bottom w:val="single" w:color="000000" w:sz="4" w:space="0"/>
              <w:right w:val="single" w:color="auto" w:sz="4" w:space="0"/>
            </w:tcBorders>
            <w:vAlign w:val="center"/>
          </w:tcPr>
          <w:p w14:paraId="3F6FCA8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不正确分值</w:t>
            </w:r>
          </w:p>
        </w:tc>
      </w:tr>
      <w:tr w14:paraId="6665862C">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7D0F92B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满分或零分</w:t>
            </w:r>
          </w:p>
        </w:tc>
        <w:tc>
          <w:tcPr>
            <w:tcW w:w="1667" w:type="pct"/>
            <w:vAlign w:val="center"/>
          </w:tcPr>
          <w:p w14:paraId="5451D24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c>
          <w:tcPr>
            <w:tcW w:w="809" w:type="pct"/>
            <w:vAlign w:val="center"/>
          </w:tcPr>
          <w:p w14:paraId="451F9B7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c>
          <w:tcPr>
            <w:tcW w:w="750" w:type="pct"/>
            <w:vAlign w:val="center"/>
          </w:tcPr>
          <w:p w14:paraId="5758081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c>
          <w:tcPr>
            <w:tcW w:w="799" w:type="pct"/>
            <w:tcBorders>
              <w:top w:val="single" w:color="000000" w:sz="4" w:space="0"/>
              <w:bottom w:val="single" w:color="000000" w:sz="4" w:space="0"/>
              <w:right w:val="single" w:color="auto" w:sz="4" w:space="0"/>
            </w:tcBorders>
            <w:vAlign w:val="center"/>
          </w:tcPr>
          <w:p w14:paraId="485BD7CC">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r>
      <w:tr w14:paraId="1417FF7D">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4FDC277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从零分开始加</w:t>
            </w:r>
          </w:p>
        </w:tc>
        <w:tc>
          <w:tcPr>
            <w:tcW w:w="1667" w:type="pct"/>
            <w:tcBorders>
              <w:bottom w:val="single" w:color="000000" w:sz="12" w:space="0"/>
            </w:tcBorders>
            <w:vAlign w:val="center"/>
          </w:tcPr>
          <w:p w14:paraId="60EE51B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c>
          <w:tcPr>
            <w:tcW w:w="809" w:type="pct"/>
            <w:tcBorders>
              <w:bottom w:val="single" w:color="000000" w:sz="12" w:space="0"/>
            </w:tcBorders>
            <w:vAlign w:val="center"/>
          </w:tcPr>
          <w:p w14:paraId="30AE202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c>
          <w:tcPr>
            <w:tcW w:w="750" w:type="pct"/>
            <w:tcBorders>
              <w:bottom w:val="single" w:color="000000" w:sz="12" w:space="0"/>
            </w:tcBorders>
            <w:vAlign w:val="center"/>
          </w:tcPr>
          <w:p w14:paraId="4496904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c>
          <w:tcPr>
            <w:tcW w:w="799" w:type="pct"/>
            <w:tcBorders>
              <w:top w:val="single" w:color="000000" w:sz="4" w:space="0"/>
              <w:bottom w:val="single" w:color="000000" w:sz="12" w:space="0"/>
              <w:right w:val="single" w:color="auto" w:sz="4" w:space="0"/>
            </w:tcBorders>
            <w:vAlign w:val="center"/>
          </w:tcPr>
          <w:p w14:paraId="6583F69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p>
        </w:tc>
      </w:tr>
    </w:tbl>
    <w:p w14:paraId="1B8B294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（样例：测量评分准则）</w:t>
      </w:r>
    </w:p>
    <w:tbl>
      <w:tblPr>
        <w:tblStyle w:val="10"/>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621"/>
        <w:gridCol w:w="2773"/>
        <w:gridCol w:w="1346"/>
        <w:gridCol w:w="1247"/>
        <w:gridCol w:w="1329"/>
      </w:tblGrid>
      <w:tr w14:paraId="3843A35D">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4AB0944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类型</w:t>
            </w:r>
          </w:p>
        </w:tc>
        <w:tc>
          <w:tcPr>
            <w:tcW w:w="1667" w:type="pct"/>
            <w:tcBorders>
              <w:top w:val="single" w:color="000000" w:sz="12" w:space="0"/>
            </w:tcBorders>
            <w:vAlign w:val="center"/>
          </w:tcPr>
          <w:p w14:paraId="6BCB77A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示例</w:t>
            </w:r>
          </w:p>
        </w:tc>
        <w:tc>
          <w:tcPr>
            <w:tcW w:w="809" w:type="pct"/>
            <w:tcBorders>
              <w:top w:val="single" w:color="000000" w:sz="12" w:space="0"/>
            </w:tcBorders>
            <w:vAlign w:val="center"/>
          </w:tcPr>
          <w:p w14:paraId="505948F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最高分值</w:t>
            </w:r>
          </w:p>
        </w:tc>
        <w:tc>
          <w:tcPr>
            <w:tcW w:w="750" w:type="pct"/>
            <w:tcBorders>
              <w:top w:val="single" w:color="000000" w:sz="12" w:space="0"/>
            </w:tcBorders>
            <w:vAlign w:val="center"/>
          </w:tcPr>
          <w:p w14:paraId="52B3141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正确分值</w:t>
            </w:r>
          </w:p>
        </w:tc>
        <w:tc>
          <w:tcPr>
            <w:tcW w:w="799" w:type="pct"/>
            <w:tcBorders>
              <w:top w:val="single" w:color="000000" w:sz="12" w:space="0"/>
              <w:bottom w:val="single" w:color="000000" w:sz="4" w:space="0"/>
              <w:right w:val="single" w:color="auto" w:sz="4" w:space="0"/>
            </w:tcBorders>
            <w:vAlign w:val="center"/>
          </w:tcPr>
          <w:p w14:paraId="699ED8A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不正确分值</w:t>
            </w:r>
          </w:p>
        </w:tc>
      </w:tr>
      <w:tr w14:paraId="7F5F5F43">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4595F7F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满分或零分</w:t>
            </w:r>
          </w:p>
        </w:tc>
        <w:tc>
          <w:tcPr>
            <w:tcW w:w="1667" w:type="pct"/>
            <w:tcBorders>
              <w:bottom w:val="single" w:color="000000" w:sz="4" w:space="0"/>
            </w:tcBorders>
            <w:vAlign w:val="center"/>
          </w:tcPr>
          <w:p w14:paraId="10E1E71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配置温湿度传感器地址</w:t>
            </w:r>
          </w:p>
        </w:tc>
        <w:tc>
          <w:tcPr>
            <w:tcW w:w="809" w:type="pct"/>
            <w:tcBorders>
              <w:bottom w:val="single" w:color="000000" w:sz="4" w:space="0"/>
            </w:tcBorders>
            <w:vAlign w:val="center"/>
          </w:tcPr>
          <w:p w14:paraId="513F438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0.50</w:t>
            </w:r>
          </w:p>
        </w:tc>
        <w:tc>
          <w:tcPr>
            <w:tcW w:w="750" w:type="pct"/>
            <w:tcBorders>
              <w:bottom w:val="single" w:color="000000" w:sz="4" w:space="0"/>
            </w:tcBorders>
            <w:vAlign w:val="center"/>
          </w:tcPr>
          <w:p w14:paraId="4E8262D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0.50</w:t>
            </w:r>
          </w:p>
        </w:tc>
        <w:tc>
          <w:tcPr>
            <w:tcW w:w="799" w:type="pct"/>
            <w:tcBorders>
              <w:top w:val="single" w:color="000000" w:sz="4" w:space="0"/>
              <w:bottom w:val="single" w:color="000000" w:sz="4" w:space="0"/>
              <w:right w:val="single" w:color="auto" w:sz="4" w:space="0"/>
            </w:tcBorders>
            <w:vAlign w:val="center"/>
          </w:tcPr>
          <w:p w14:paraId="0FBA4DC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w:t>
            </w:r>
          </w:p>
        </w:tc>
      </w:tr>
      <w:tr w14:paraId="12AC1886">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782E306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从零分开始加</w:t>
            </w:r>
          </w:p>
        </w:tc>
        <w:tc>
          <w:tcPr>
            <w:tcW w:w="1667" w:type="pct"/>
            <w:tcBorders>
              <w:top w:val="single" w:color="000000" w:sz="4" w:space="0"/>
              <w:bottom w:val="single" w:color="000000" w:sz="12" w:space="0"/>
            </w:tcBorders>
            <w:vAlign w:val="center"/>
          </w:tcPr>
          <w:p w14:paraId="1DC9A45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通过物联网云平台控制各执行器运作。</w:t>
            </w:r>
          </w:p>
        </w:tc>
        <w:tc>
          <w:tcPr>
            <w:tcW w:w="809" w:type="pct"/>
            <w:tcBorders>
              <w:top w:val="single" w:color="000000" w:sz="4" w:space="0"/>
              <w:bottom w:val="single" w:color="000000" w:sz="12" w:space="0"/>
            </w:tcBorders>
            <w:vAlign w:val="center"/>
          </w:tcPr>
          <w:p w14:paraId="027B9761">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750" w:type="pct"/>
            <w:tcBorders>
              <w:top w:val="single" w:color="000000" w:sz="4" w:space="0"/>
              <w:bottom w:val="single" w:color="000000" w:sz="12" w:space="0"/>
            </w:tcBorders>
            <w:vAlign w:val="center"/>
          </w:tcPr>
          <w:p w14:paraId="001DA2D0">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799" w:type="pct"/>
            <w:tcBorders>
              <w:top w:val="single" w:color="000000" w:sz="4" w:space="0"/>
              <w:bottom w:val="single" w:color="000000" w:sz="12" w:space="0"/>
              <w:right w:val="single" w:color="auto" w:sz="4" w:space="0"/>
            </w:tcBorders>
            <w:vAlign w:val="center"/>
          </w:tcPr>
          <w:p w14:paraId="23D8676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0 – 0.5</w:t>
            </w:r>
          </w:p>
        </w:tc>
      </w:tr>
    </w:tbl>
    <w:p w14:paraId="1E66AB40">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（二）评判方式</w:t>
      </w:r>
    </w:p>
    <w:p w14:paraId="55971A8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裁判组在竞赛规定的结束时间后，分组对参赛队伍进行考评，每组裁判3名及以上。裁判员每人有一份评分表，裁判员按照评分表中要求安装设备和提交结果按照评分表中标准进行打分评判。</w:t>
      </w:r>
    </w:p>
    <w:p w14:paraId="16C1591A">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（三）评分方法</w:t>
      </w:r>
    </w:p>
    <w:p w14:paraId="437B44B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1、组织与分工</w:t>
      </w:r>
    </w:p>
    <w:p w14:paraId="1A8DC18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（1）参与大赛赛项成绩管理的组织机构包括裁判组、监督仲裁组，受赛项执委会领导。</w:t>
      </w:r>
    </w:p>
    <w:p w14:paraId="1F4348F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w:t>
      </w:r>
      <w:r>
        <w:rPr>
          <w:rFonts w:hint="eastAsia" w:ascii="仿宋_GB2312" w:hAnsi="仿宋_GB2312" w:eastAsia="仿宋_GB2312" w:cs="仿宋_GB2312"/>
          <w:sz w:val="28"/>
        </w:rPr>
        <w:t>裁判组实行“裁判长负责制”，设裁判长1名，全面负责赛项的裁判管理工作并处理比赛中出现的争议问题，并配裁判员若干名，负责协助裁判长工作</w:t>
      </w:r>
      <w:r>
        <w:rPr>
          <w:rFonts w:hint="eastAsia" w:ascii="仿宋_GB2312" w:hAnsi="仿宋_GB2312" w:eastAsia="仿宋_GB2312" w:cs="仿宋_GB2312"/>
          <w:sz w:val="28"/>
          <w:szCs w:val="30"/>
        </w:rPr>
        <w:t>。</w:t>
      </w:r>
    </w:p>
    <w:p w14:paraId="4991C0B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w:t>
      </w:r>
      <w:r>
        <w:rPr>
          <w:rFonts w:hint="eastAsia" w:ascii="仿宋_GB2312" w:hAnsi="仿宋_GB2312" w:eastAsia="仿宋_GB2312" w:cs="仿宋_GB2312"/>
          <w:sz w:val="28"/>
        </w:rPr>
        <w:t>裁判员根据比赛需要分为检录裁判、加密裁判、现场裁判和评分裁判。</w:t>
      </w:r>
      <w:r>
        <w:rPr>
          <w:rFonts w:hint="eastAsia" w:ascii="仿宋_GB2312" w:hAnsi="仿宋_GB2312" w:eastAsia="仿宋_GB2312" w:cs="仿宋_GB2312"/>
          <w:sz w:val="28"/>
          <w:szCs w:val="30"/>
        </w:rPr>
        <w:t>检录工作人员负责对参赛队伍（选手）进行点名登记、身份核对等工作；加密裁判负责组织参赛队伍（选手）抽签，对参赛队信息、抽签代码等进行加密、解密工作；现场裁判按规定做好赛场记录，维护赛场纪律；评分裁判负责对参赛队伍（选手）的比赛作品、比赛表现按赛项评分标准进行评定。</w:t>
      </w:r>
    </w:p>
    <w:p w14:paraId="45F2F744">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（4）</w:t>
      </w:r>
      <w:r>
        <w:rPr>
          <w:rFonts w:hint="eastAsia" w:ascii="仿宋_GB2312" w:hAnsi="仿宋_GB2312" w:eastAsia="仿宋_GB2312" w:cs="仿宋_GB2312"/>
          <w:sz w:val="28"/>
        </w:rPr>
        <w:t>监督仲裁</w:t>
      </w:r>
      <w:r>
        <w:rPr>
          <w:rFonts w:hint="eastAsia" w:ascii="仿宋_GB2312" w:hAnsi="仿宋_GB2312" w:eastAsia="仿宋_GB2312" w:cs="仿宋_GB2312"/>
          <w:sz w:val="28"/>
          <w:szCs w:val="30"/>
        </w:rPr>
        <w:t>组对裁判组的工作进行全程监督，并对竞赛成绩抽检复核。</w:t>
      </w:r>
    </w:p>
    <w:p w14:paraId="722975B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（5）</w:t>
      </w:r>
      <w:r>
        <w:rPr>
          <w:rFonts w:hint="eastAsia" w:ascii="仿宋_GB2312" w:hAnsi="仿宋_GB2312" w:eastAsia="仿宋_GB2312" w:cs="仿宋_GB2312"/>
          <w:sz w:val="28"/>
        </w:rPr>
        <w:t>监督仲裁</w:t>
      </w:r>
      <w:r>
        <w:rPr>
          <w:rFonts w:hint="eastAsia" w:ascii="仿宋_GB2312" w:hAnsi="仿宋_GB2312" w:eastAsia="仿宋_GB2312" w:cs="仿宋_GB2312"/>
          <w:sz w:val="28"/>
          <w:szCs w:val="30"/>
        </w:rPr>
        <w:t>组负责接受由参赛队领队提出的对竞赛过程的申诉，组织复议并及时反馈复议结果。</w:t>
      </w:r>
    </w:p>
    <w:p w14:paraId="457EE05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2、成绩评定方法</w:t>
      </w:r>
    </w:p>
    <w:p w14:paraId="4ECACF5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rPr>
      </w:pPr>
      <w:r>
        <w:rPr>
          <w:rFonts w:hint="eastAsia" w:ascii="仿宋_GB2312" w:hAnsi="仿宋_GB2312" w:eastAsia="仿宋_GB2312" w:cs="仿宋_GB2312"/>
          <w:sz w:val="28"/>
        </w:rPr>
        <w:t>成绩评定是根据竞赛考核目标、内容对参赛队或选手在竞赛过程中的表现和最终成果做出评价，本赛项的评分方法分结果评分。结果评分是对参赛选手提交的竞赛成果和作答卷，依据赛项评价标准进行评价评分。所有的评分表、成绩汇总表备案以供核查，最终的成绩由裁判长进行审核确认并上报大赛组委会。</w:t>
      </w:r>
    </w:p>
    <w:p w14:paraId="5C0971E1">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3、成绩解密</w:t>
      </w:r>
    </w:p>
    <w:p w14:paraId="66DDAFA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裁判长正式提交赛位（竞赛作品）评分结果并复核无误后，加密裁判在</w:t>
      </w:r>
      <w:r>
        <w:rPr>
          <w:rFonts w:hint="eastAsia" w:ascii="仿宋_GB2312" w:hAnsi="仿宋_GB2312" w:eastAsia="仿宋_GB2312" w:cs="仿宋_GB2312"/>
          <w:sz w:val="28"/>
        </w:rPr>
        <w:t>监督仲裁</w:t>
      </w:r>
      <w:r>
        <w:rPr>
          <w:rFonts w:hint="eastAsia" w:ascii="仿宋_GB2312" w:hAnsi="仿宋_GB2312" w:eastAsia="仿宋_GB2312" w:cs="仿宋_GB2312"/>
          <w:sz w:val="28"/>
          <w:szCs w:val="30"/>
        </w:rPr>
        <w:t>组人员监督下对加密结果进行逐层解密。</w:t>
      </w:r>
    </w:p>
    <w:p w14:paraId="145FA06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4、成绩公布</w:t>
      </w:r>
    </w:p>
    <w:p w14:paraId="789B0DE1">
      <w:pPr>
        <w:pageBreakBefore w:val="0"/>
        <w:kinsoku/>
        <w:wordWrap/>
        <w:overflowPunct/>
        <w:topLinePunct w:val="0"/>
        <w:autoSpaceDE/>
        <w:autoSpaceDN/>
        <w:bidi w:val="0"/>
        <w:spacing w:line="560" w:lineRule="exact"/>
        <w:ind w:firstLine="420"/>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sz w:val="28"/>
        </w:rPr>
        <w:t>赛项成绩在赛项结束后由赛项组委会负责公布最终成绩。任何组织和个人，不得擅自对大赛成绩进行涂改、伪造或用于欺诈等违法犯罪活动、如需使用大赛成绩，应报赛项执委会审批。</w:t>
      </w:r>
    </w:p>
    <w:p w14:paraId="1ECD54C8">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十二、奖项设定</w:t>
      </w:r>
    </w:p>
    <w:p w14:paraId="6784DC7B">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 xml:space="preserve">本赛项的奖项设团队奖。 </w:t>
      </w:r>
    </w:p>
    <w:p w14:paraId="3621B203">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 xml:space="preserve">设奖比例为：以赛项实际参赛队总数为基数，一、二、三等奖获奖比例分别为 10%、20%、30%（小数点后四舍五入）。 </w:t>
      </w:r>
    </w:p>
    <w:p w14:paraId="28F82DA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如出现参赛队总分相同情况，按照 A、B、C模块顺序的得分高低排序，即总成绩相同的情况下比较 A 模块的成绩，A 模块成绩高的排名优先，如果 A 模块成绩也相同，则按 B 模块的成绩进行排名，以此类推完成相同成绩的排序。如果 A、B、C各模块分值均相同，则查看文档撰写规范、职业素养的分值进行排序。</w:t>
      </w:r>
    </w:p>
    <w:p w14:paraId="6C99C49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十三、赛场预案</w:t>
      </w:r>
    </w:p>
    <w:p w14:paraId="177207F3">
      <w:pPr>
        <w:pageBreakBefore w:val="0"/>
        <w:widowControl/>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按照山东省职业院校技能大赛相关制度执行。</w:t>
      </w:r>
    </w:p>
    <w:p w14:paraId="33CC3EAB">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color w:val="000000"/>
          <w:sz w:val="28"/>
          <w:szCs w:val="32"/>
        </w:rPr>
        <w:t>1</w:t>
      </w:r>
      <w:r>
        <w:rPr>
          <w:rFonts w:hint="eastAsia" w:ascii="仿宋_GB2312" w:hAnsi="仿宋_GB2312" w:eastAsia="仿宋_GB2312" w:cs="仿宋_GB2312"/>
          <w:bCs/>
          <w:color w:val="000000"/>
          <w:kern w:val="28"/>
          <w:sz w:val="28"/>
          <w:szCs w:val="28"/>
        </w:rPr>
        <w:t>.竞赛软硬件环境和电脑在比赛前进行压力测试，验证功能正常。竞赛现场准备有1-2套完整的竞赛环境，保证在出现非选手原因的损坏时，经现场裁判认定，裁判长确认后，由赛场技术支持人员予以及时更换。</w:t>
      </w:r>
    </w:p>
    <w:p w14:paraId="2737FEB9">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2.竞赛过程中出现设备掉电、故障等意外时，现场裁判需及时确认情况，安排赛场技术支持人员进行处理，现场裁判登记详细情况，填写补时登记表，报裁判长批准后，可安排延长补足相应选手的比赛时间。</w:t>
      </w:r>
    </w:p>
    <w:p w14:paraId="0029072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14:paraId="17D929A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4.本赛项竞赛过程中各个竞赛工位为独立供电且各个参赛队均采用独立网络进行竞赛，如在竞赛时某赛位参赛队出现意外境况不会影响其它赛位正常比赛，不会由此对成绩产生影响。</w:t>
      </w:r>
    </w:p>
    <w:p w14:paraId="7DFAA4B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5.比赛期间发生大规模意外事故和安全问题，发现者应第一时间报告赛项执委会，赛项执委会应采取中止比赛、快速疏散人群等措施避免事态扩大，并第一时间报告赛项执委会。赛项出现重大安全问题可以停赛，是否停赛由赛项执委会决定。事后，赛项执委会应向上级领导部门报告详细情况。</w:t>
      </w:r>
    </w:p>
    <w:p w14:paraId="66247B2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6.比赛期间如发生特殊情况，参赛选手需保持镇静，服从现场工作人员指挥，有序撤离。</w:t>
      </w:r>
    </w:p>
    <w:p w14:paraId="24C190D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7.安保人员发现不安全隐患及时通报。</w:t>
      </w:r>
    </w:p>
    <w:p w14:paraId="1F70AD5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color w:val="000000"/>
          <w:sz w:val="28"/>
          <w:szCs w:val="28"/>
        </w:rPr>
        <w:t>8.竞赛现场配备医疗服务站，备有必须药品。</w:t>
      </w:r>
      <w:r>
        <w:rPr>
          <w:rFonts w:hint="eastAsia" w:ascii="仿宋_GB2312" w:hAnsi="仿宋_GB2312" w:eastAsia="仿宋_GB2312" w:cs="仿宋_GB2312"/>
        </w:rPr>
        <w:t xml:space="preserve"> </w:t>
      </w:r>
    </w:p>
    <w:p w14:paraId="7804A2D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十四、赛项安全</w:t>
      </w:r>
    </w:p>
    <w:p w14:paraId="4E7EFE7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779018C0">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（一）比赛环境</w:t>
      </w:r>
    </w:p>
    <w:p w14:paraId="0ADE8B8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1.赛项执委会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5228919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赛场周围要设立警戒线，要求所有参赛人员必须凭赛项执委会印发的有效证件进入场地，防止无关人员进入发生意外事件。比赛现场内应参照相关职业岗位的要求为选手提供必要的劳动保护。在具有危险性的操作环节，裁判员要严防选手出现错误操作。</w:t>
      </w:r>
    </w:p>
    <w:p w14:paraId="3F161B3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5D48DDFB">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4.严格控制与参赛无关的易燃易爆以及各类危险品进入比赛场地，不许随便携带书包进入赛场。</w:t>
      </w:r>
    </w:p>
    <w:p w14:paraId="76FF111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5.配备先进的仪器，防止有人利用电磁波干扰比赛秩序。大赛现场需对赛场进行网络安全控制，以免场内外信息交互，充分体现大赛的严肃、公平和公正性。</w:t>
      </w:r>
    </w:p>
    <w:p w14:paraId="651FFEF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6.赛项执委会须会同承办院校制定开放赛场和体验区的人员疏导方案。赛场环境中存在人员密集、车流人流交错的区域，除了设置齐全的指示标志外，须增加引导人员，并开辟备用通道。</w:t>
      </w:r>
    </w:p>
    <w:p w14:paraId="394A8F99">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7.大赛期间，承办院校须在赛场管理的关键岗位，增加力量，建立安全管理日志。</w:t>
      </w:r>
    </w:p>
    <w:p w14:paraId="7CB6491E">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（二）生活条件</w:t>
      </w:r>
    </w:p>
    <w:p w14:paraId="642DCC0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1.比赛期间，原则上由赛项承办院校统一安排参赛选手和指导教师食宿。承办院校须尊重少数民族的信仰及文化，根据国家相关的民族政策，安排好少数民族选手和教师的饮食起居。</w:t>
      </w:r>
    </w:p>
    <w:p w14:paraId="51DBEBF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2.比赛期间安排的住宿地应具有宾馆/住宿经营许可资质。以学校宿舍作为住宿地的，大赛期间的住宿、卫生、饮食安全等由执委会和提供宿舍的学校共同负责。</w:t>
      </w:r>
    </w:p>
    <w:p w14:paraId="19A3A08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3.大赛期间有组织的参观和观摩活动的交通安全由赛项组委会负责。赛项执委会和承办院校须保证比赛期间选手、指导教师和裁判员、工作人员的交通安全。</w:t>
      </w:r>
    </w:p>
    <w:p w14:paraId="186B029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4.各赛项的安全管理，除了可以采取必要的安全隔离措施外，应严格遵守国家相关法律法规，保护个人隐私和人身自由。</w:t>
      </w:r>
    </w:p>
    <w:p w14:paraId="6FD6485B">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（三）应急处理</w:t>
      </w:r>
    </w:p>
    <w:p w14:paraId="32BA4C1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比赛期间发生意外事故时，发现者应在第一时间报告赛项执委会，同时采取措施，避免事态扩大。赛项执委会应立即启动预案予以解决并向赛项组委会报告。出现重大安全问题的赛项可以停赛，是否停赛由赛项组委会决定。事后，赛项执委会应向上级领导部门报告详细情况。</w:t>
      </w:r>
    </w:p>
    <w:p w14:paraId="17457A5D">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（四）处罚措施</w:t>
      </w:r>
    </w:p>
    <w:p w14:paraId="23AD292C">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1.因参赛队伍原因造成重大安全事故的，取消其获奖资格。</w:t>
      </w:r>
    </w:p>
    <w:p w14:paraId="421F669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2.参赛队伍有发生重大安全事故隐患，经赛场工作人员提示、警告无效的，可取消其继续比赛的资格。</w:t>
      </w:r>
    </w:p>
    <w:p w14:paraId="49C1370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3.赛事工作人员违规的，按照相应的制度追究责任。情节恶劣并造成重大安全事故的，由司法机关追究相应法律责任。</w:t>
      </w:r>
    </w:p>
    <w:p w14:paraId="5BE0FED8">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十五、竞赛须知</w:t>
      </w:r>
    </w:p>
    <w:p w14:paraId="49264F15">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30"/>
          <w:szCs w:val="30"/>
        </w:rPr>
      </w:pPr>
      <w:r>
        <w:rPr>
          <w:rFonts w:hint="eastAsia" w:ascii="仿宋_GB2312" w:hAnsi="仿宋_GB2312" w:eastAsia="仿宋_GB2312" w:cs="仿宋_GB2312"/>
          <w:sz w:val="28"/>
          <w:szCs w:val="30"/>
        </w:rPr>
        <w:t>（一）参赛队须知</w:t>
      </w:r>
    </w:p>
    <w:p w14:paraId="5B6B122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1.参赛队应该参加赛项承办单位组织的闭赛式等各项赛事活动。</w:t>
      </w:r>
    </w:p>
    <w:p w14:paraId="560F935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2.在赛事期间，领队及参赛队其他成员不得私自接触裁判，凡发现有弄虚作假者，取消其参赛资格，成绩无效。</w:t>
      </w:r>
    </w:p>
    <w:p w14:paraId="0505711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3.所有参赛人员须按照赛项规程要求按照完成赛项评价工作。</w:t>
      </w:r>
    </w:p>
    <w:p w14:paraId="0BC8895B">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4.对于有碍比赛公正和比赛正常进行的参赛队，视其情节轻重，按照《山东省职业院校技能大赛奖惩办法》给予警告、取消比赛成绩、通报批评等处理。其中，对于比赛过程及有关活动造成重大影响的，以适当方式通告参赛院校或其所属地区的教育行政主管部门依据有关规定给予行政或纪律处分，同时停止该院校参加山东省职业院校技能大赛1年。涉及刑事犯罪的移交司法机关处理。</w:t>
      </w:r>
    </w:p>
    <w:p w14:paraId="68AA7F4E">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（二）指导教师须知</w:t>
      </w:r>
    </w:p>
    <w:p w14:paraId="6282A44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1.指导教师应该根据专业教学计划和赛项规程合理制定训练方案，认真指导选手训练，培养选手的综合职业能力和良好的职业素养，克服功利化思想，避免为赛而学、以赛代学。</w:t>
      </w:r>
    </w:p>
    <w:p w14:paraId="2989D64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2.指导教师应该根据赛项规程要求做好参赛选手安全工作，并积极做好选手的安全教育。</w:t>
      </w:r>
    </w:p>
    <w:p w14:paraId="456671B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3.指导教师参加赛项观摩等活动，不得违反赛项规定进入赛场，干扰比赛正常进行。</w:t>
      </w:r>
    </w:p>
    <w:p w14:paraId="79D8F695">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（三）参赛选手须知</w:t>
      </w:r>
    </w:p>
    <w:p w14:paraId="119F527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1.参赛选手凭赛项执委会颁发的参赛凭证和有效身份证件（身份证、学生证）参加竞赛及相关活动，在赛场内操作期间应当始终佩带参赛凭证以备检查。</w:t>
      </w:r>
    </w:p>
    <w:p w14:paraId="63E3B69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2.参赛选手须严格按规定时间进入比赛场地，对现场条件进行确认并签字，按统一指令开始竞赛，在收到开赛信号前不得启动操作。各参赛队自行决定分工、工作程序和时间安排，在指定工位上完成竞赛项目。</w:t>
      </w:r>
    </w:p>
    <w:p w14:paraId="2DB54F8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3.参赛选手不允许携带任何竞赛规程禁止使用的电子产品及通讯工具，以及其它与竞赛有关的资料和书籍，不得以任何方式泄露参赛院校、选手姓名等涉及竞赛场上应该保密的信息。</w:t>
      </w:r>
    </w:p>
    <w:p w14:paraId="12C34EE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4.参赛选手比赛时间内连续工作，食品、饮水等由赛场统一提供。选手休息、饮食及如厕时间均计算在比赛时间内。</w:t>
      </w:r>
    </w:p>
    <w:p w14:paraId="5121179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5.竞赛期间，参赛选手不得提前离开赛场。如特殊原因（如身体不适等）无法继续参赛的，需举手请示裁判，经裁判同意后方可离开赛场。选手离开赛场后不得在场外逗留，也不得再返回赛场。</w:t>
      </w:r>
    </w:p>
    <w:p w14:paraId="40F1C3CB">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6.竞赛结束时间到后，选手不得再进行任何与竞赛有关的操作。参赛队若提前结束比赛，应向裁判员举手示意，裁判员记录比赛完成时间。</w:t>
      </w:r>
    </w:p>
    <w:p w14:paraId="35E037B1">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7.参赛选手须按照竞赛要求及规定提交竞赛结果及相关文件，禁止在竞赛成果上做任何与竞赛无关的标记，如单位名称、参赛者姓名等，否则视为作弊。</w:t>
      </w:r>
    </w:p>
    <w:p w14:paraId="4E5A9D0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8.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79E28DA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9.参赛选手须严格遵守赛场规章制度、服从裁判，文明竞赛。有作弊行为的，参赛队该项成绩为0分；如有不服从裁判、扰乱赛场秩序等不文明行为，按照相关规定扣减分数，情节严重的取消比赛资格和成绩。</w:t>
      </w:r>
    </w:p>
    <w:p w14:paraId="225C9661">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10.为培养技能型人才的工作风格，在参赛期间，参赛选手应当注意保持工作环境及设备摆放，符合企业生产“5S”（即整理、整顿、清扫、清洁和素养）的原则，如果过于脏乱，裁判员有权酌情扣分。</w:t>
      </w:r>
    </w:p>
    <w:p w14:paraId="49FF5C04">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（四）工作人员须知</w:t>
      </w:r>
    </w:p>
    <w:p w14:paraId="7A1F961F">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1.服从赛项执委会的领导，遵守职业道德、坚持原则、按章办事，以高度负责的精神、严肃认真的态度和严谨细致的作风做好工作，为赛场提供有序的服务。</w:t>
      </w:r>
    </w:p>
    <w:p w14:paraId="7FD6A57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2.佩带工作人员证件，仪表整洁，忠于职守，语言举止文明礼貌。</w:t>
      </w:r>
    </w:p>
    <w:p w14:paraId="3C20895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3.熟悉《竞赛规程》，认真执行竞赛规则，严格按照工作程序和有关规定办事，遇突发事件，按照应急预案，组织指挥人员疏散，确保人员安全。</w:t>
      </w:r>
    </w:p>
    <w:p w14:paraId="4F58320B">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4.坚守岗位，不迟到，不早退，不擅离职守。</w:t>
      </w:r>
    </w:p>
    <w:p w14:paraId="4038C07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5.赛场工作人员要积极维护好赛场秩序，以利于参赛选手正常发挥水平。</w:t>
      </w:r>
    </w:p>
    <w:p w14:paraId="6FC3DB24">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6.赛场工作人员在比赛中不回答选手提出的任何有关比赛技术问题，如遇争议问题，需上报执委会。</w:t>
      </w:r>
    </w:p>
    <w:p w14:paraId="351C32C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十六、申诉与仲裁</w:t>
      </w:r>
    </w:p>
    <w:p w14:paraId="438FC41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各参赛队对不符合大赛和赛项规程规定的仪器、设备、工装、材料、物件、计算机软硬件、竞赛使用工具、用品，竞赛执裁、赛场管理，以及工作人员的不规范行为等，可向赛项监督仲裁组提出申诉。申诉主体为参赛队领队。参赛队领队可在比赛结束后（选手赛场比赛内容全部完成）1小时之内向监督仲裁组提出书面申诉。</w:t>
      </w:r>
    </w:p>
    <w:p w14:paraId="5539672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2.书面申诉应对申诉事件的现象、发生时间、涉及人员、申诉依据等进行充分、实事求是的叙述，并由领队亲笔签名。非书面申诉不予受理。</w:t>
      </w:r>
    </w:p>
    <w:p w14:paraId="6B85803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3.赛项监督仲裁组</w:t>
      </w:r>
      <w:r>
        <w:rPr>
          <w:rFonts w:hint="eastAsia" w:ascii="仿宋_GB2312" w:hAnsi="仿宋_GB2312" w:eastAsia="仿宋_GB2312" w:cs="仿宋_GB2312"/>
          <w:sz w:val="28"/>
        </w:rPr>
        <w:t>收到申诉报告后，应根据申诉事由进行审查，2小时内通知申诉方，告知申诉处理结果</w:t>
      </w:r>
      <w:r>
        <w:rPr>
          <w:rFonts w:hint="eastAsia" w:ascii="仿宋_GB2312" w:hAnsi="仿宋_GB2312" w:eastAsia="仿宋_GB2312" w:cs="仿宋_GB2312"/>
          <w:sz w:val="28"/>
          <w:szCs w:val="30"/>
        </w:rPr>
        <w:t>。</w:t>
      </w:r>
    </w:p>
    <w:p w14:paraId="75E5BA8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rPr>
        <w:t>4.申诉人不得无故拒不接受处理结果，不允许采取过激行为刁难、攻击工作人员，否则视为放弃申诉。申诉人不满意赛项仲裁工作组的处理结果的，可向大赛仲裁委员会提出复议申请。大赛仲裁委员会在接到复议申请后的1天内组织复议，并及时反馈复议结果。大赛仲裁委员会的仲裁结果为最终结果。</w:t>
      </w:r>
    </w:p>
    <w:p w14:paraId="298D53C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5.仲裁结果由申诉人签收，不能代收，如在约定时间和地点申诉人离开，视为自行放弃申诉。</w:t>
      </w:r>
    </w:p>
    <w:p w14:paraId="3122075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6.申诉方可随时提出放弃申诉。</w:t>
      </w:r>
    </w:p>
    <w:p w14:paraId="4BE6345F">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28"/>
          <w:szCs w:val="30"/>
        </w:rPr>
        <w:t>7.申诉方不得以任何理由采取过激行为扰乱赛场秩序。</w:t>
      </w:r>
    </w:p>
    <w:p w14:paraId="4647DC5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30"/>
          <w:szCs w:val="30"/>
        </w:rPr>
      </w:pPr>
      <w:r>
        <w:rPr>
          <w:rFonts w:hint="eastAsia" w:ascii="仿宋_GB2312" w:hAnsi="仿宋_GB2312" w:eastAsia="仿宋_GB2312" w:cs="仿宋_GB2312"/>
          <w:bCs w:val="0"/>
          <w:kern w:val="2"/>
          <w:sz w:val="30"/>
          <w:szCs w:val="30"/>
        </w:rPr>
        <w:t>十七、其他</w:t>
      </w:r>
    </w:p>
    <w:p w14:paraId="6915920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1. 大赛任何工作都不应该破坏赛场周边环境。</w:t>
      </w:r>
    </w:p>
    <w:p w14:paraId="36CDE42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30"/>
        </w:rPr>
      </w:pPr>
      <w:r>
        <w:rPr>
          <w:rFonts w:hint="eastAsia" w:ascii="仿宋_GB2312" w:hAnsi="仿宋_GB2312" w:eastAsia="仿宋_GB2312" w:cs="仿宋_GB2312"/>
          <w:sz w:val="28"/>
          <w:szCs w:val="30"/>
        </w:rPr>
        <w:t>2. 提倡绿色环保的理念，所有可循环利用的材料都应分类处理和收集。</w:t>
      </w:r>
    </w:p>
    <w:p w14:paraId="19CF1039">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Regular">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85327B"/>
    <w:multiLevelType w:val="singleLevel"/>
    <w:tmpl w:val="CF85327B"/>
    <w:lvl w:ilvl="0" w:tentative="0">
      <w:start w:val="1"/>
      <w:numFmt w:val="bullet"/>
      <w:lvlText w:val=""/>
      <w:lvlJc w:val="left"/>
      <w:pPr>
        <w:tabs>
          <w:tab w:val="left" w:pos="420"/>
        </w:tabs>
        <w:ind w:left="840" w:hanging="420"/>
      </w:pPr>
      <w:rPr>
        <w:rFonts w:hint="default" w:ascii="Wingdings" w:hAnsi="Wingdings"/>
      </w:rPr>
    </w:lvl>
  </w:abstractNum>
  <w:abstractNum w:abstractNumId="1">
    <w:nsid w:val="345D240C"/>
    <w:multiLevelType w:val="multilevel"/>
    <w:tmpl w:val="345D240C"/>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2">
    <w:nsid w:val="3C6362E8"/>
    <w:multiLevelType w:val="multilevel"/>
    <w:tmpl w:val="3C6362E8"/>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1E53BD"/>
    <w:rsid w:val="000101E2"/>
    <w:rsid w:val="00014808"/>
    <w:rsid w:val="000151EF"/>
    <w:rsid w:val="000230DF"/>
    <w:rsid w:val="00024369"/>
    <w:rsid w:val="00035B0D"/>
    <w:rsid w:val="0003630C"/>
    <w:rsid w:val="000410EB"/>
    <w:rsid w:val="0004185F"/>
    <w:rsid w:val="00044679"/>
    <w:rsid w:val="000468EB"/>
    <w:rsid w:val="000478A2"/>
    <w:rsid w:val="00054346"/>
    <w:rsid w:val="00054776"/>
    <w:rsid w:val="0006426C"/>
    <w:rsid w:val="00071783"/>
    <w:rsid w:val="00073B5D"/>
    <w:rsid w:val="00074CCE"/>
    <w:rsid w:val="000774FA"/>
    <w:rsid w:val="0008032A"/>
    <w:rsid w:val="00080C4D"/>
    <w:rsid w:val="0008196D"/>
    <w:rsid w:val="000843BA"/>
    <w:rsid w:val="0008659E"/>
    <w:rsid w:val="00090BDB"/>
    <w:rsid w:val="00094585"/>
    <w:rsid w:val="0009643B"/>
    <w:rsid w:val="000A117C"/>
    <w:rsid w:val="000A12CA"/>
    <w:rsid w:val="000A307C"/>
    <w:rsid w:val="000A778F"/>
    <w:rsid w:val="000B0ED8"/>
    <w:rsid w:val="000B129F"/>
    <w:rsid w:val="000C04E0"/>
    <w:rsid w:val="000C1749"/>
    <w:rsid w:val="000C20E9"/>
    <w:rsid w:val="000D0B74"/>
    <w:rsid w:val="000E4F36"/>
    <w:rsid w:val="000E53D2"/>
    <w:rsid w:val="000E61B3"/>
    <w:rsid w:val="000F2C20"/>
    <w:rsid w:val="000F44B5"/>
    <w:rsid w:val="000F654F"/>
    <w:rsid w:val="000F75BD"/>
    <w:rsid w:val="00107805"/>
    <w:rsid w:val="00107EC1"/>
    <w:rsid w:val="001226A0"/>
    <w:rsid w:val="00123040"/>
    <w:rsid w:val="00130BB5"/>
    <w:rsid w:val="00130D71"/>
    <w:rsid w:val="001310E4"/>
    <w:rsid w:val="00131A6B"/>
    <w:rsid w:val="00133D51"/>
    <w:rsid w:val="00140BA2"/>
    <w:rsid w:val="0014320C"/>
    <w:rsid w:val="00146043"/>
    <w:rsid w:val="00146601"/>
    <w:rsid w:val="00147744"/>
    <w:rsid w:val="00151779"/>
    <w:rsid w:val="00154E83"/>
    <w:rsid w:val="00170C5F"/>
    <w:rsid w:val="00186A76"/>
    <w:rsid w:val="00186B26"/>
    <w:rsid w:val="00187438"/>
    <w:rsid w:val="001922F5"/>
    <w:rsid w:val="001937BA"/>
    <w:rsid w:val="001939ED"/>
    <w:rsid w:val="00194EBE"/>
    <w:rsid w:val="001A217C"/>
    <w:rsid w:val="001B2FEE"/>
    <w:rsid w:val="001B53E9"/>
    <w:rsid w:val="001C6D1F"/>
    <w:rsid w:val="001C724B"/>
    <w:rsid w:val="001D0D70"/>
    <w:rsid w:val="001D2710"/>
    <w:rsid w:val="001E0C7D"/>
    <w:rsid w:val="001E3FE2"/>
    <w:rsid w:val="001E4033"/>
    <w:rsid w:val="001E53BD"/>
    <w:rsid w:val="001E7BF3"/>
    <w:rsid w:val="00200E01"/>
    <w:rsid w:val="00206D38"/>
    <w:rsid w:val="00211A84"/>
    <w:rsid w:val="00211BD8"/>
    <w:rsid w:val="00214AC1"/>
    <w:rsid w:val="00224ED5"/>
    <w:rsid w:val="00225ECE"/>
    <w:rsid w:val="00226B63"/>
    <w:rsid w:val="00241779"/>
    <w:rsid w:val="00243124"/>
    <w:rsid w:val="00244B25"/>
    <w:rsid w:val="00246C34"/>
    <w:rsid w:val="00247CD1"/>
    <w:rsid w:val="00250E43"/>
    <w:rsid w:val="002532B6"/>
    <w:rsid w:val="0026166A"/>
    <w:rsid w:val="00266B08"/>
    <w:rsid w:val="00276B9A"/>
    <w:rsid w:val="00280969"/>
    <w:rsid w:val="00283A20"/>
    <w:rsid w:val="002851DF"/>
    <w:rsid w:val="002877EF"/>
    <w:rsid w:val="00287B40"/>
    <w:rsid w:val="00291FB8"/>
    <w:rsid w:val="002973FC"/>
    <w:rsid w:val="002977E7"/>
    <w:rsid w:val="002A1315"/>
    <w:rsid w:val="002A3E2B"/>
    <w:rsid w:val="002A48F6"/>
    <w:rsid w:val="002B037B"/>
    <w:rsid w:val="002B061E"/>
    <w:rsid w:val="002B129A"/>
    <w:rsid w:val="002B3966"/>
    <w:rsid w:val="002B6AEF"/>
    <w:rsid w:val="002C0A3D"/>
    <w:rsid w:val="002C3A84"/>
    <w:rsid w:val="002D2D3E"/>
    <w:rsid w:val="002D5765"/>
    <w:rsid w:val="002D6BDC"/>
    <w:rsid w:val="002E2876"/>
    <w:rsid w:val="002E398D"/>
    <w:rsid w:val="002E69F8"/>
    <w:rsid w:val="002F2674"/>
    <w:rsid w:val="002F3B52"/>
    <w:rsid w:val="00303EF5"/>
    <w:rsid w:val="003218B3"/>
    <w:rsid w:val="00323BDF"/>
    <w:rsid w:val="00331F39"/>
    <w:rsid w:val="003321D4"/>
    <w:rsid w:val="00332730"/>
    <w:rsid w:val="00333B39"/>
    <w:rsid w:val="00333F2B"/>
    <w:rsid w:val="00334EC9"/>
    <w:rsid w:val="00340ABC"/>
    <w:rsid w:val="00341486"/>
    <w:rsid w:val="00350D36"/>
    <w:rsid w:val="00355994"/>
    <w:rsid w:val="003604C2"/>
    <w:rsid w:val="00362110"/>
    <w:rsid w:val="003651D6"/>
    <w:rsid w:val="00372B04"/>
    <w:rsid w:val="00372E7B"/>
    <w:rsid w:val="00372EAE"/>
    <w:rsid w:val="00372F2B"/>
    <w:rsid w:val="00375037"/>
    <w:rsid w:val="00380709"/>
    <w:rsid w:val="0039354E"/>
    <w:rsid w:val="00393F90"/>
    <w:rsid w:val="003A43BC"/>
    <w:rsid w:val="003B2A0F"/>
    <w:rsid w:val="003B529D"/>
    <w:rsid w:val="003C1400"/>
    <w:rsid w:val="003C353D"/>
    <w:rsid w:val="003C733E"/>
    <w:rsid w:val="003D0464"/>
    <w:rsid w:val="003D2087"/>
    <w:rsid w:val="003D6E58"/>
    <w:rsid w:val="003E1D10"/>
    <w:rsid w:val="003F3B86"/>
    <w:rsid w:val="00402091"/>
    <w:rsid w:val="00404674"/>
    <w:rsid w:val="00417312"/>
    <w:rsid w:val="004204B3"/>
    <w:rsid w:val="004255A1"/>
    <w:rsid w:val="00427512"/>
    <w:rsid w:val="00427A26"/>
    <w:rsid w:val="004303E3"/>
    <w:rsid w:val="0043129C"/>
    <w:rsid w:val="00431858"/>
    <w:rsid w:val="004323AB"/>
    <w:rsid w:val="00433F0F"/>
    <w:rsid w:val="00435030"/>
    <w:rsid w:val="00436599"/>
    <w:rsid w:val="00437A42"/>
    <w:rsid w:val="004415B2"/>
    <w:rsid w:val="00442FB5"/>
    <w:rsid w:val="00464C9A"/>
    <w:rsid w:val="0046661F"/>
    <w:rsid w:val="00470B26"/>
    <w:rsid w:val="0047395C"/>
    <w:rsid w:val="00484691"/>
    <w:rsid w:val="00486CB8"/>
    <w:rsid w:val="0049127D"/>
    <w:rsid w:val="00491E12"/>
    <w:rsid w:val="00492F06"/>
    <w:rsid w:val="00496668"/>
    <w:rsid w:val="004A281C"/>
    <w:rsid w:val="004A3BB3"/>
    <w:rsid w:val="004A570F"/>
    <w:rsid w:val="004B0BAC"/>
    <w:rsid w:val="004B3039"/>
    <w:rsid w:val="004C22B0"/>
    <w:rsid w:val="004D1A7B"/>
    <w:rsid w:val="004D4460"/>
    <w:rsid w:val="004E1413"/>
    <w:rsid w:val="004E42C0"/>
    <w:rsid w:val="004E72AE"/>
    <w:rsid w:val="004F60DD"/>
    <w:rsid w:val="004F79DA"/>
    <w:rsid w:val="005005E8"/>
    <w:rsid w:val="00501A54"/>
    <w:rsid w:val="00512156"/>
    <w:rsid w:val="00512859"/>
    <w:rsid w:val="00512E88"/>
    <w:rsid w:val="005133E5"/>
    <w:rsid w:val="00513687"/>
    <w:rsid w:val="00517BBB"/>
    <w:rsid w:val="005223ED"/>
    <w:rsid w:val="005229F8"/>
    <w:rsid w:val="00525CF4"/>
    <w:rsid w:val="00526D1A"/>
    <w:rsid w:val="00532DCB"/>
    <w:rsid w:val="00543251"/>
    <w:rsid w:val="005441C5"/>
    <w:rsid w:val="005463C0"/>
    <w:rsid w:val="0056360A"/>
    <w:rsid w:val="00570F9E"/>
    <w:rsid w:val="00577838"/>
    <w:rsid w:val="005879B7"/>
    <w:rsid w:val="00587D51"/>
    <w:rsid w:val="00590FE9"/>
    <w:rsid w:val="00591F6C"/>
    <w:rsid w:val="005922F3"/>
    <w:rsid w:val="005A0B91"/>
    <w:rsid w:val="005A54F2"/>
    <w:rsid w:val="005A7E32"/>
    <w:rsid w:val="005A7E9C"/>
    <w:rsid w:val="005B1FAB"/>
    <w:rsid w:val="005B3DF0"/>
    <w:rsid w:val="005C555C"/>
    <w:rsid w:val="005D0CA4"/>
    <w:rsid w:val="005D294E"/>
    <w:rsid w:val="005E3B19"/>
    <w:rsid w:val="005E577F"/>
    <w:rsid w:val="005E633E"/>
    <w:rsid w:val="005F0D7F"/>
    <w:rsid w:val="0060197B"/>
    <w:rsid w:val="00606EA0"/>
    <w:rsid w:val="00610677"/>
    <w:rsid w:val="00621093"/>
    <w:rsid w:val="00622D4E"/>
    <w:rsid w:val="006420A7"/>
    <w:rsid w:val="00642C87"/>
    <w:rsid w:val="00644986"/>
    <w:rsid w:val="00644D84"/>
    <w:rsid w:val="00651D19"/>
    <w:rsid w:val="00654A19"/>
    <w:rsid w:val="00661D1F"/>
    <w:rsid w:val="00663D71"/>
    <w:rsid w:val="0066605D"/>
    <w:rsid w:val="00672465"/>
    <w:rsid w:val="00675295"/>
    <w:rsid w:val="00677C5B"/>
    <w:rsid w:val="00681455"/>
    <w:rsid w:val="00694485"/>
    <w:rsid w:val="006A170D"/>
    <w:rsid w:val="006A5A1A"/>
    <w:rsid w:val="006A669D"/>
    <w:rsid w:val="006C40FE"/>
    <w:rsid w:val="006C691C"/>
    <w:rsid w:val="006D1F52"/>
    <w:rsid w:val="006D79CB"/>
    <w:rsid w:val="006E68AF"/>
    <w:rsid w:val="006F15B3"/>
    <w:rsid w:val="00705FF9"/>
    <w:rsid w:val="0071294B"/>
    <w:rsid w:val="00714C2B"/>
    <w:rsid w:val="0071664C"/>
    <w:rsid w:val="007211C8"/>
    <w:rsid w:val="00725AD4"/>
    <w:rsid w:val="00740D6D"/>
    <w:rsid w:val="00745F50"/>
    <w:rsid w:val="00746376"/>
    <w:rsid w:val="00750EBA"/>
    <w:rsid w:val="00750F15"/>
    <w:rsid w:val="00755D07"/>
    <w:rsid w:val="00760437"/>
    <w:rsid w:val="00762134"/>
    <w:rsid w:val="00762179"/>
    <w:rsid w:val="00763FFA"/>
    <w:rsid w:val="007662D1"/>
    <w:rsid w:val="00767B8A"/>
    <w:rsid w:val="00772D05"/>
    <w:rsid w:val="00774D8F"/>
    <w:rsid w:val="00775867"/>
    <w:rsid w:val="00782A97"/>
    <w:rsid w:val="00783EB4"/>
    <w:rsid w:val="0079149C"/>
    <w:rsid w:val="007942E4"/>
    <w:rsid w:val="00795E36"/>
    <w:rsid w:val="007B3DE2"/>
    <w:rsid w:val="007B56F3"/>
    <w:rsid w:val="007B7AA8"/>
    <w:rsid w:val="007C171B"/>
    <w:rsid w:val="007C19D9"/>
    <w:rsid w:val="007C201E"/>
    <w:rsid w:val="007D02F3"/>
    <w:rsid w:val="007D4AA2"/>
    <w:rsid w:val="007D4BBA"/>
    <w:rsid w:val="007E0129"/>
    <w:rsid w:val="007E1B0D"/>
    <w:rsid w:val="007F3623"/>
    <w:rsid w:val="00800903"/>
    <w:rsid w:val="00800C79"/>
    <w:rsid w:val="00801637"/>
    <w:rsid w:val="00805567"/>
    <w:rsid w:val="008075B3"/>
    <w:rsid w:val="00813EDB"/>
    <w:rsid w:val="00815718"/>
    <w:rsid w:val="00815ED7"/>
    <w:rsid w:val="008175ED"/>
    <w:rsid w:val="00830B2A"/>
    <w:rsid w:val="00830CB3"/>
    <w:rsid w:val="008318C5"/>
    <w:rsid w:val="00831D84"/>
    <w:rsid w:val="00836F4F"/>
    <w:rsid w:val="00844A18"/>
    <w:rsid w:val="0085004A"/>
    <w:rsid w:val="0086020F"/>
    <w:rsid w:val="00866493"/>
    <w:rsid w:val="008775A0"/>
    <w:rsid w:val="008826A2"/>
    <w:rsid w:val="00886491"/>
    <w:rsid w:val="00886665"/>
    <w:rsid w:val="00887795"/>
    <w:rsid w:val="00887A33"/>
    <w:rsid w:val="00887E48"/>
    <w:rsid w:val="0089551B"/>
    <w:rsid w:val="00895537"/>
    <w:rsid w:val="00897D0A"/>
    <w:rsid w:val="008A2084"/>
    <w:rsid w:val="008A6C8B"/>
    <w:rsid w:val="008B04C6"/>
    <w:rsid w:val="008B2776"/>
    <w:rsid w:val="008B3019"/>
    <w:rsid w:val="008C6737"/>
    <w:rsid w:val="008D07E3"/>
    <w:rsid w:val="008D0808"/>
    <w:rsid w:val="008D4467"/>
    <w:rsid w:val="008D6F91"/>
    <w:rsid w:val="008E0BC4"/>
    <w:rsid w:val="008F45D5"/>
    <w:rsid w:val="008F5FBD"/>
    <w:rsid w:val="008F6F76"/>
    <w:rsid w:val="009035BC"/>
    <w:rsid w:val="0091058C"/>
    <w:rsid w:val="00922B5B"/>
    <w:rsid w:val="00924E32"/>
    <w:rsid w:val="00927069"/>
    <w:rsid w:val="00930805"/>
    <w:rsid w:val="00931126"/>
    <w:rsid w:val="00934ED6"/>
    <w:rsid w:val="00935944"/>
    <w:rsid w:val="00936AE7"/>
    <w:rsid w:val="0094511E"/>
    <w:rsid w:val="00946B96"/>
    <w:rsid w:val="009474B7"/>
    <w:rsid w:val="0095215F"/>
    <w:rsid w:val="0095288E"/>
    <w:rsid w:val="00953D11"/>
    <w:rsid w:val="00953EEE"/>
    <w:rsid w:val="00956ED6"/>
    <w:rsid w:val="00957342"/>
    <w:rsid w:val="00957A7C"/>
    <w:rsid w:val="009605CB"/>
    <w:rsid w:val="00960ADD"/>
    <w:rsid w:val="0096729A"/>
    <w:rsid w:val="00971488"/>
    <w:rsid w:val="0097572F"/>
    <w:rsid w:val="009817F9"/>
    <w:rsid w:val="009838E6"/>
    <w:rsid w:val="009930E0"/>
    <w:rsid w:val="009A1BAA"/>
    <w:rsid w:val="009A1CDC"/>
    <w:rsid w:val="009A6463"/>
    <w:rsid w:val="009C07F6"/>
    <w:rsid w:val="009C4DC9"/>
    <w:rsid w:val="009C6B34"/>
    <w:rsid w:val="009C7BC2"/>
    <w:rsid w:val="009D19E0"/>
    <w:rsid w:val="009D41A7"/>
    <w:rsid w:val="009D592F"/>
    <w:rsid w:val="009D6AF5"/>
    <w:rsid w:val="009D6E85"/>
    <w:rsid w:val="009D7519"/>
    <w:rsid w:val="009E2A66"/>
    <w:rsid w:val="009F0907"/>
    <w:rsid w:val="009F1D86"/>
    <w:rsid w:val="009F233F"/>
    <w:rsid w:val="009F4F78"/>
    <w:rsid w:val="00A01E58"/>
    <w:rsid w:val="00A02A29"/>
    <w:rsid w:val="00A06218"/>
    <w:rsid w:val="00A12070"/>
    <w:rsid w:val="00A140B6"/>
    <w:rsid w:val="00A14426"/>
    <w:rsid w:val="00A20897"/>
    <w:rsid w:val="00A20913"/>
    <w:rsid w:val="00A32F5C"/>
    <w:rsid w:val="00A410E2"/>
    <w:rsid w:val="00A46FC2"/>
    <w:rsid w:val="00A55981"/>
    <w:rsid w:val="00A62344"/>
    <w:rsid w:val="00A64AFA"/>
    <w:rsid w:val="00A65874"/>
    <w:rsid w:val="00A714E9"/>
    <w:rsid w:val="00A75133"/>
    <w:rsid w:val="00A83EC5"/>
    <w:rsid w:val="00A95AA7"/>
    <w:rsid w:val="00A96EED"/>
    <w:rsid w:val="00AA1033"/>
    <w:rsid w:val="00AA7315"/>
    <w:rsid w:val="00AB104E"/>
    <w:rsid w:val="00AB12AD"/>
    <w:rsid w:val="00AB2AB1"/>
    <w:rsid w:val="00AB3F0C"/>
    <w:rsid w:val="00AC7738"/>
    <w:rsid w:val="00AC78A1"/>
    <w:rsid w:val="00AC7C94"/>
    <w:rsid w:val="00AD066D"/>
    <w:rsid w:val="00AD46CE"/>
    <w:rsid w:val="00AD7F90"/>
    <w:rsid w:val="00B02A70"/>
    <w:rsid w:val="00B039EC"/>
    <w:rsid w:val="00B10DB5"/>
    <w:rsid w:val="00B118D1"/>
    <w:rsid w:val="00B1223A"/>
    <w:rsid w:val="00B13ABC"/>
    <w:rsid w:val="00B2301B"/>
    <w:rsid w:val="00B26D2A"/>
    <w:rsid w:val="00B27A52"/>
    <w:rsid w:val="00B27E6E"/>
    <w:rsid w:val="00B30824"/>
    <w:rsid w:val="00B3488F"/>
    <w:rsid w:val="00B365AF"/>
    <w:rsid w:val="00B50825"/>
    <w:rsid w:val="00B678F2"/>
    <w:rsid w:val="00B72317"/>
    <w:rsid w:val="00B7289A"/>
    <w:rsid w:val="00B729B9"/>
    <w:rsid w:val="00B72FD7"/>
    <w:rsid w:val="00B73CEC"/>
    <w:rsid w:val="00B7583B"/>
    <w:rsid w:val="00BA5074"/>
    <w:rsid w:val="00BB2DC4"/>
    <w:rsid w:val="00BC60E2"/>
    <w:rsid w:val="00BC642D"/>
    <w:rsid w:val="00BD34BD"/>
    <w:rsid w:val="00BD623E"/>
    <w:rsid w:val="00BE2A04"/>
    <w:rsid w:val="00BE5E14"/>
    <w:rsid w:val="00BE6081"/>
    <w:rsid w:val="00BF5E57"/>
    <w:rsid w:val="00C010A0"/>
    <w:rsid w:val="00C02BBD"/>
    <w:rsid w:val="00C07B10"/>
    <w:rsid w:val="00C119D0"/>
    <w:rsid w:val="00C17F19"/>
    <w:rsid w:val="00C22EA1"/>
    <w:rsid w:val="00C2342C"/>
    <w:rsid w:val="00C34192"/>
    <w:rsid w:val="00C351F5"/>
    <w:rsid w:val="00C36E0A"/>
    <w:rsid w:val="00C45562"/>
    <w:rsid w:val="00C52B58"/>
    <w:rsid w:val="00C61883"/>
    <w:rsid w:val="00C62E92"/>
    <w:rsid w:val="00C82B75"/>
    <w:rsid w:val="00C83F2F"/>
    <w:rsid w:val="00C8550C"/>
    <w:rsid w:val="00C92A03"/>
    <w:rsid w:val="00C96BC3"/>
    <w:rsid w:val="00C96E0A"/>
    <w:rsid w:val="00CB2A1C"/>
    <w:rsid w:val="00CB6A4E"/>
    <w:rsid w:val="00CB7366"/>
    <w:rsid w:val="00CC2735"/>
    <w:rsid w:val="00CD2972"/>
    <w:rsid w:val="00CD68D4"/>
    <w:rsid w:val="00CD6E77"/>
    <w:rsid w:val="00CD7BC3"/>
    <w:rsid w:val="00CF5774"/>
    <w:rsid w:val="00CF7670"/>
    <w:rsid w:val="00CF785D"/>
    <w:rsid w:val="00CF7D0F"/>
    <w:rsid w:val="00D02854"/>
    <w:rsid w:val="00D02F4A"/>
    <w:rsid w:val="00D16C61"/>
    <w:rsid w:val="00D4006D"/>
    <w:rsid w:val="00D41E10"/>
    <w:rsid w:val="00D4662A"/>
    <w:rsid w:val="00D51DB3"/>
    <w:rsid w:val="00D5375B"/>
    <w:rsid w:val="00D54DC2"/>
    <w:rsid w:val="00D603EB"/>
    <w:rsid w:val="00D606ED"/>
    <w:rsid w:val="00D60796"/>
    <w:rsid w:val="00D60977"/>
    <w:rsid w:val="00D60EED"/>
    <w:rsid w:val="00D70229"/>
    <w:rsid w:val="00D82A84"/>
    <w:rsid w:val="00D905B6"/>
    <w:rsid w:val="00D95896"/>
    <w:rsid w:val="00D96391"/>
    <w:rsid w:val="00DB32BC"/>
    <w:rsid w:val="00DC4DAE"/>
    <w:rsid w:val="00DC50A8"/>
    <w:rsid w:val="00DD6A85"/>
    <w:rsid w:val="00DE33F5"/>
    <w:rsid w:val="00DE3F7C"/>
    <w:rsid w:val="00DF087F"/>
    <w:rsid w:val="00DF481D"/>
    <w:rsid w:val="00DF4CD2"/>
    <w:rsid w:val="00DF7662"/>
    <w:rsid w:val="00E015CF"/>
    <w:rsid w:val="00E021BF"/>
    <w:rsid w:val="00E171BB"/>
    <w:rsid w:val="00E4233D"/>
    <w:rsid w:val="00E51265"/>
    <w:rsid w:val="00E531A0"/>
    <w:rsid w:val="00E5770D"/>
    <w:rsid w:val="00E643D9"/>
    <w:rsid w:val="00E64EE2"/>
    <w:rsid w:val="00E6531F"/>
    <w:rsid w:val="00E8337E"/>
    <w:rsid w:val="00E92EDE"/>
    <w:rsid w:val="00E93A71"/>
    <w:rsid w:val="00E9429F"/>
    <w:rsid w:val="00E95DFC"/>
    <w:rsid w:val="00E95FD2"/>
    <w:rsid w:val="00E96BAF"/>
    <w:rsid w:val="00EA790E"/>
    <w:rsid w:val="00EB0600"/>
    <w:rsid w:val="00EB34BC"/>
    <w:rsid w:val="00EB3624"/>
    <w:rsid w:val="00EB46E4"/>
    <w:rsid w:val="00EB4FA1"/>
    <w:rsid w:val="00EB6738"/>
    <w:rsid w:val="00EC5F5F"/>
    <w:rsid w:val="00EC73D6"/>
    <w:rsid w:val="00ED065B"/>
    <w:rsid w:val="00ED0D11"/>
    <w:rsid w:val="00ED47B6"/>
    <w:rsid w:val="00ED4C12"/>
    <w:rsid w:val="00EE0857"/>
    <w:rsid w:val="00EE1250"/>
    <w:rsid w:val="00EE1334"/>
    <w:rsid w:val="00EE13FC"/>
    <w:rsid w:val="00EE2468"/>
    <w:rsid w:val="00EE3674"/>
    <w:rsid w:val="00EE4130"/>
    <w:rsid w:val="00EE4F24"/>
    <w:rsid w:val="00EF0694"/>
    <w:rsid w:val="00EF3AFA"/>
    <w:rsid w:val="00EF4E01"/>
    <w:rsid w:val="00EF4E61"/>
    <w:rsid w:val="00EF5B77"/>
    <w:rsid w:val="00EF6C3E"/>
    <w:rsid w:val="00F0692C"/>
    <w:rsid w:val="00F06E5F"/>
    <w:rsid w:val="00F0701A"/>
    <w:rsid w:val="00F209B1"/>
    <w:rsid w:val="00F214EE"/>
    <w:rsid w:val="00F2187D"/>
    <w:rsid w:val="00F21F59"/>
    <w:rsid w:val="00F24760"/>
    <w:rsid w:val="00F316F0"/>
    <w:rsid w:val="00F33409"/>
    <w:rsid w:val="00F348BD"/>
    <w:rsid w:val="00F370E6"/>
    <w:rsid w:val="00F379B6"/>
    <w:rsid w:val="00F40899"/>
    <w:rsid w:val="00F4492B"/>
    <w:rsid w:val="00F503CC"/>
    <w:rsid w:val="00F53412"/>
    <w:rsid w:val="00F63ECF"/>
    <w:rsid w:val="00F66BFD"/>
    <w:rsid w:val="00F74374"/>
    <w:rsid w:val="00F81F81"/>
    <w:rsid w:val="00F83882"/>
    <w:rsid w:val="00F90189"/>
    <w:rsid w:val="00F95B79"/>
    <w:rsid w:val="00FB2B27"/>
    <w:rsid w:val="00FB54E0"/>
    <w:rsid w:val="00FD6A11"/>
    <w:rsid w:val="00FE0D93"/>
    <w:rsid w:val="00FE136E"/>
    <w:rsid w:val="00FE6E38"/>
    <w:rsid w:val="00FF2CFA"/>
    <w:rsid w:val="00FF2F3F"/>
    <w:rsid w:val="0EF90284"/>
    <w:rsid w:val="118B1396"/>
    <w:rsid w:val="153B5391"/>
    <w:rsid w:val="15EC35E6"/>
    <w:rsid w:val="24860B00"/>
    <w:rsid w:val="428F78E6"/>
    <w:rsid w:val="442B50C6"/>
    <w:rsid w:val="443E0AF9"/>
    <w:rsid w:val="651E0BD6"/>
    <w:rsid w:val="673C5C4C"/>
    <w:rsid w:val="7C1B7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autoRedefine/>
    <w:qFormat/>
    <w:uiPriority w:val="0"/>
    <w:pPr>
      <w:jc w:val="left"/>
    </w:pPr>
  </w:style>
  <w:style w:type="paragraph" w:styleId="5">
    <w:name w:val="Balloon Text"/>
    <w:basedOn w:val="1"/>
    <w:link w:val="20"/>
    <w:autoRedefine/>
    <w:qFormat/>
    <w:uiPriority w:val="0"/>
    <w:rPr>
      <w:sz w:val="18"/>
      <w:szCs w:val="18"/>
    </w:r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0"/>
    <w:pPr>
      <w:snapToGrid w:val="0"/>
      <w:spacing w:line="540" w:lineRule="exact"/>
      <w:jc w:val="center"/>
    </w:pPr>
    <w:rPr>
      <w:rFonts w:ascii="黑体" w:hAnsi="黑体" w:eastAsia="黑体"/>
      <w:b/>
      <w:kern w:val="0"/>
      <w:sz w:val="36"/>
      <w:szCs w:val="36"/>
    </w:rPr>
  </w:style>
  <w:style w:type="paragraph" w:styleId="9">
    <w:name w:val="annotation subject"/>
    <w:basedOn w:val="4"/>
    <w:next w:val="4"/>
    <w:link w:val="22"/>
    <w:autoRedefine/>
    <w:qFormat/>
    <w:uiPriority w:val="0"/>
    <w:rPr>
      <w:b/>
      <w:bCs/>
    </w:rPr>
  </w:style>
  <w:style w:type="character" w:styleId="12">
    <w:name w:val="annotation reference"/>
    <w:autoRedefine/>
    <w:qFormat/>
    <w:uiPriority w:val="0"/>
    <w:rPr>
      <w:sz w:val="21"/>
      <w:szCs w:val="21"/>
    </w:rPr>
  </w:style>
  <w:style w:type="character" w:customStyle="1" w:styleId="13">
    <w:name w:val="页眉 Char"/>
    <w:link w:val="7"/>
    <w:autoRedefine/>
    <w:qFormat/>
    <w:uiPriority w:val="0"/>
    <w:rPr>
      <w:rFonts w:ascii="Times New Roman" w:hAnsi="Times New Roman"/>
      <w:kern w:val="2"/>
      <w:sz w:val="18"/>
      <w:szCs w:val="18"/>
    </w:rPr>
  </w:style>
  <w:style w:type="character" w:customStyle="1" w:styleId="14">
    <w:name w:val="页脚 Char"/>
    <w:link w:val="6"/>
    <w:autoRedefine/>
    <w:qFormat/>
    <w:uiPriority w:val="0"/>
    <w:rPr>
      <w:rFonts w:ascii="Times New Roman" w:hAnsi="Times New Roman"/>
      <w:kern w:val="2"/>
      <w:sz w:val="18"/>
      <w:szCs w:val="18"/>
    </w:rPr>
  </w:style>
  <w:style w:type="character" w:customStyle="1" w:styleId="15">
    <w:name w:val="标题 1 Char"/>
    <w:link w:val="2"/>
    <w:autoRedefine/>
    <w:qFormat/>
    <w:uiPriority w:val="0"/>
    <w:rPr>
      <w:rFonts w:ascii="Times New Roman" w:hAnsi="Times New Roman"/>
      <w:b/>
      <w:bCs/>
      <w:kern w:val="44"/>
      <w:sz w:val="44"/>
      <w:szCs w:val="44"/>
    </w:rPr>
  </w:style>
  <w:style w:type="paragraph" w:customStyle="1" w:styleId="16">
    <w:name w:val="彩色列表 - 着色 11"/>
    <w:basedOn w:val="1"/>
    <w:autoRedefine/>
    <w:qFormat/>
    <w:uiPriority w:val="99"/>
    <w:pPr>
      <w:ind w:firstLine="420" w:firstLineChars="200"/>
    </w:pPr>
    <w:rPr>
      <w:rFonts w:ascii="Calibri" w:hAnsi="Calibri"/>
      <w:szCs w:val="24"/>
    </w:rPr>
  </w:style>
  <w:style w:type="character" w:customStyle="1" w:styleId="17">
    <w:name w:val="标题 1 字符"/>
    <w:autoRedefine/>
    <w:qFormat/>
    <w:uiPriority w:val="0"/>
    <w:rPr>
      <w:rFonts w:ascii="Times New Roman" w:hAnsi="Times New Roman"/>
      <w:b/>
      <w:bCs/>
      <w:kern w:val="44"/>
      <w:sz w:val="44"/>
      <w:szCs w:val="44"/>
    </w:rPr>
  </w:style>
  <w:style w:type="character" w:customStyle="1" w:styleId="18">
    <w:name w:val="批注文字 Char"/>
    <w:autoRedefine/>
    <w:qFormat/>
    <w:uiPriority w:val="0"/>
    <w:rPr>
      <w:rFonts w:ascii="Times New Roman" w:hAnsi="Times New Roman"/>
      <w:kern w:val="2"/>
      <w:sz w:val="21"/>
      <w:szCs w:val="22"/>
    </w:rPr>
  </w:style>
  <w:style w:type="character" w:customStyle="1" w:styleId="19">
    <w:name w:val="批注文字 Char1"/>
    <w:link w:val="4"/>
    <w:autoRedefine/>
    <w:qFormat/>
    <w:uiPriority w:val="0"/>
    <w:rPr>
      <w:rFonts w:ascii="Times New Roman" w:hAnsi="Times New Roman"/>
      <w:kern w:val="2"/>
      <w:sz w:val="21"/>
      <w:szCs w:val="22"/>
    </w:rPr>
  </w:style>
  <w:style w:type="character" w:customStyle="1" w:styleId="20">
    <w:name w:val="批注框文本 Char"/>
    <w:link w:val="5"/>
    <w:autoRedefine/>
    <w:qFormat/>
    <w:uiPriority w:val="0"/>
    <w:rPr>
      <w:rFonts w:ascii="Times New Roman" w:hAnsi="Times New Roman"/>
      <w:kern w:val="2"/>
      <w:sz w:val="18"/>
      <w:szCs w:val="18"/>
    </w:rPr>
  </w:style>
  <w:style w:type="paragraph" w:customStyle="1" w:styleId="21">
    <w:name w:val="修订1"/>
    <w:autoRedefine/>
    <w:hidden/>
    <w:unhideWhenUsed/>
    <w:qFormat/>
    <w:uiPriority w:val="99"/>
    <w:rPr>
      <w:rFonts w:ascii="Times New Roman" w:hAnsi="Times New Roman" w:eastAsia="宋体" w:cs="Times New Roman"/>
      <w:kern w:val="2"/>
      <w:sz w:val="21"/>
      <w:szCs w:val="22"/>
      <w:lang w:val="en-US" w:eastAsia="zh-CN" w:bidi="ar-SA"/>
    </w:rPr>
  </w:style>
  <w:style w:type="character" w:customStyle="1" w:styleId="22">
    <w:name w:val="批注主题 Char"/>
    <w:link w:val="9"/>
    <w:autoRedefine/>
    <w:qFormat/>
    <w:uiPriority w:val="0"/>
    <w:rPr>
      <w:rFonts w:ascii="Times New Roman" w:hAnsi="Times New Roman"/>
      <w:b/>
      <w:bCs/>
      <w:kern w:val="2"/>
      <w:sz w:val="21"/>
      <w:szCs w:val="22"/>
    </w:rPr>
  </w:style>
  <w:style w:type="character" w:customStyle="1" w:styleId="23">
    <w:name w:val="fontstyle01"/>
    <w:autoRedefine/>
    <w:qFormat/>
    <w:uiPriority w:val="0"/>
    <w:rPr>
      <w:rFonts w:hint="eastAsia" w:ascii="仿宋" w:hAnsi="仿宋" w:eastAsia="仿宋"/>
      <w:color w:val="000000"/>
      <w:sz w:val="30"/>
      <w:szCs w:val="30"/>
    </w:rPr>
  </w:style>
  <w:style w:type="character" w:customStyle="1" w:styleId="24">
    <w:name w:val="fontstyle21"/>
    <w:autoRedefine/>
    <w:qFormat/>
    <w:uiPriority w:val="0"/>
    <w:rPr>
      <w:rFonts w:hint="default" w:ascii="Wingdings-Regular" w:hAnsi="Wingdings-Regular"/>
      <w:color w:val="000000"/>
      <w:sz w:val="28"/>
      <w:szCs w:val="28"/>
    </w:rPr>
  </w:style>
  <w:style w:type="character" w:customStyle="1" w:styleId="25">
    <w:name w:val="标题 2 Char"/>
    <w:basedOn w:val="11"/>
    <w:link w:val="3"/>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20</Pages>
  <Words>4659</Words>
  <Characters>5293</Characters>
  <Lines>76</Lines>
  <Paragraphs>21</Paragraphs>
  <TotalTime>6</TotalTime>
  <ScaleCrop>false</ScaleCrop>
  <LinksUpToDate>false</LinksUpToDate>
  <CharactersWithSpaces>5377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2024-11-15T04:53:00Z</dcterms:created>
  <dc:creator>wang yideng</dc:creator>
  <cp:lastModifiedBy>左手无名指1398045354</cp:lastModifiedBy>
  <dcterms:modified xsi:type="dcterms:W3CDTF">2024-11-19T03:38:44Z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16DC2918AE174693ADA914378D9A041F_12</vt:lpwstr>
  </property>
</Properties>
</file>