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09ED6">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2024年兰州现代职业学院技能大赛高职学生组</w:t>
      </w:r>
    </w:p>
    <w:p w14:paraId="3E417556">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地理空间信息采集与处理赛项</w:t>
      </w:r>
      <w:r>
        <w:rPr>
          <w:rFonts w:hint="eastAsia" w:ascii="Arial" w:hAnsi="Arial" w:eastAsia="黑体" w:cstheme="minorBidi"/>
          <w:b/>
          <w:bCs w:val="0"/>
          <w:snapToGrid/>
          <w:color w:val="000000"/>
          <w:kern w:val="2"/>
          <w:sz w:val="40"/>
          <w:szCs w:val="32"/>
          <w:lang w:val="en-US" w:eastAsia="zh-CN"/>
        </w:rPr>
        <w:t>竞赛规程</w:t>
      </w:r>
    </w:p>
    <w:p w14:paraId="007512B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pacing w:val="2"/>
          <w:sz w:val="28"/>
          <w:szCs w:val="28"/>
        </w:rPr>
        <w:t>一、赛项信息</w:t>
      </w:r>
    </w:p>
    <w:p w14:paraId="4165FD2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32"/>
        <w:jc w:val="left"/>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赛项名称：</w:t>
      </w:r>
      <w:r>
        <w:rPr>
          <w:rFonts w:hint="eastAsia" w:ascii="仿宋_GB2312" w:hAnsi="仿宋_GB2312" w:eastAsia="仿宋_GB2312" w:cs="仿宋_GB2312"/>
          <w:color w:val="auto"/>
          <w:spacing w:val="-3"/>
          <w:sz w:val="28"/>
          <w:szCs w:val="28"/>
          <w:lang w:val="en-US" w:eastAsia="zh-CN"/>
        </w:rPr>
        <w:t>地理空间</w:t>
      </w:r>
      <w:bookmarkStart w:id="0" w:name="_GoBack"/>
      <w:bookmarkEnd w:id="0"/>
      <w:r>
        <w:rPr>
          <w:rFonts w:hint="eastAsia" w:ascii="仿宋_GB2312" w:hAnsi="仿宋_GB2312" w:eastAsia="仿宋_GB2312" w:cs="仿宋_GB2312"/>
          <w:color w:val="auto"/>
          <w:spacing w:val="-3"/>
          <w:sz w:val="28"/>
          <w:szCs w:val="28"/>
          <w:lang w:val="en-US" w:eastAsia="zh-CN"/>
        </w:rPr>
        <w:t>信息采集与处理</w:t>
      </w:r>
    </w:p>
    <w:p w14:paraId="2A09A81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32"/>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赛项组别：高职组</w:t>
      </w:r>
    </w:p>
    <w:p w14:paraId="6301D7A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45"/>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竞赛形式：团体赛</w:t>
      </w:r>
    </w:p>
    <w:p w14:paraId="5421B215">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二、竞赛目标</w:t>
      </w:r>
    </w:p>
    <w:p w14:paraId="6DC8B1D6">
      <w:pPr>
        <w:keepNext w:val="0"/>
        <w:keepLines w:val="0"/>
        <w:pageBreakBefore w:val="0"/>
        <w:widowControl/>
        <w:kinsoku w:val="0"/>
        <w:wordWrap/>
        <w:overflowPunct/>
        <w:topLinePunct w:val="0"/>
        <w:autoSpaceDE w:val="0"/>
        <w:autoSpaceDN w:val="0"/>
        <w:bidi w:val="0"/>
        <w:adjustRightInd w:val="0"/>
        <w:snapToGrid w:val="0"/>
        <w:spacing w:before="46" w:line="560" w:lineRule="exact"/>
        <w:ind w:left="167" w:firstLine="641"/>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snapToGrid w:val="0"/>
          <w:color w:val="auto"/>
          <w:spacing w:val="-6"/>
          <w:kern w:val="0"/>
          <w:sz w:val="28"/>
          <w:szCs w:val="28"/>
          <w:lang w:val="en-US" w:eastAsia="zh-CN" w:bidi="ar-SA"/>
        </w:rPr>
        <w:t>赛项</w:t>
      </w:r>
      <w:r>
        <w:rPr>
          <w:rFonts w:hint="eastAsia" w:ascii="仿宋_GB2312" w:hAnsi="仿宋_GB2312" w:eastAsia="仿宋_GB2312" w:cs="仿宋_GB2312"/>
          <w:snapToGrid w:val="0"/>
          <w:color w:val="auto"/>
          <w:spacing w:val="-6"/>
          <w:kern w:val="0"/>
          <w:sz w:val="28"/>
          <w:szCs w:val="28"/>
          <w:lang w:val="en-US" w:eastAsia="en-US" w:bidi="ar-SA"/>
        </w:rPr>
        <w:t>将深入贯彻落实习近平总书记关于职业教育重要指示批示精神和党中央、国务院关于职业教育改革发展的决策部署，以“技炫青春能创未来”为主题，秉持“精彩、公平、专业、开放”的办赛理念，立足国内、放眼世界，努力将大赛办成具有中国特色、世界水平的技能大赛，展示我国职业教育成就和水平，搭建世界职业教育互学互鉴、友好交流平台，推动培养更多适应新技术变革和产业发展需要的 高技能人才、能工巧匠、大国工匠。</w:t>
      </w:r>
    </w:p>
    <w:p w14:paraId="132E34B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36"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赛项设计以</w:t>
      </w:r>
      <w:r>
        <w:rPr>
          <w:rFonts w:hint="eastAsia" w:ascii="仿宋_GB2312" w:hAnsi="仿宋_GB2312" w:eastAsia="仿宋_GB2312" w:cs="仿宋_GB2312"/>
          <w:color w:val="auto"/>
          <w:spacing w:val="-6"/>
          <w:sz w:val="28"/>
          <w:szCs w:val="28"/>
          <w:lang w:eastAsia="zh-CN"/>
        </w:rPr>
        <w:t>测绘</w:t>
      </w:r>
      <w:r>
        <w:rPr>
          <w:rFonts w:hint="eastAsia" w:ascii="仿宋_GB2312" w:hAnsi="仿宋_GB2312" w:eastAsia="仿宋_GB2312" w:cs="仿宋_GB2312"/>
          <w:color w:val="auto"/>
          <w:spacing w:val="-6"/>
          <w:sz w:val="28"/>
          <w:szCs w:val="28"/>
        </w:rPr>
        <w:t>产业转型升级为抓手，以服务数</w:t>
      </w:r>
      <w:r>
        <w:rPr>
          <w:rFonts w:hint="eastAsia" w:ascii="仿宋_GB2312" w:hAnsi="仿宋_GB2312" w:eastAsia="仿宋_GB2312" w:cs="仿宋_GB2312"/>
          <w:color w:val="auto"/>
          <w:spacing w:val="-7"/>
          <w:sz w:val="28"/>
          <w:szCs w:val="28"/>
        </w:rPr>
        <w:t>字建造强国为核</w:t>
      </w:r>
      <w:r>
        <w:rPr>
          <w:rFonts w:hint="eastAsia" w:ascii="仿宋_GB2312" w:hAnsi="仿宋_GB2312" w:eastAsia="仿宋_GB2312" w:cs="仿宋_GB2312"/>
          <w:color w:val="auto"/>
          <w:spacing w:val="-6"/>
          <w:sz w:val="28"/>
          <w:szCs w:val="28"/>
        </w:rPr>
        <w:t>心，全面对接</w:t>
      </w:r>
      <w:r>
        <w:rPr>
          <w:rFonts w:hint="eastAsia" w:ascii="仿宋_GB2312" w:hAnsi="仿宋_GB2312" w:eastAsia="仿宋_GB2312" w:cs="仿宋_GB2312"/>
          <w:color w:val="auto"/>
          <w:spacing w:val="-6"/>
          <w:sz w:val="28"/>
          <w:szCs w:val="28"/>
          <w:lang w:eastAsia="zh-CN"/>
        </w:rPr>
        <w:t>测绘</w:t>
      </w:r>
      <w:r>
        <w:rPr>
          <w:rFonts w:hint="eastAsia" w:ascii="仿宋_GB2312" w:hAnsi="仿宋_GB2312" w:eastAsia="仿宋_GB2312" w:cs="仿宋_GB2312"/>
          <w:color w:val="auto"/>
          <w:spacing w:val="-6"/>
          <w:sz w:val="28"/>
          <w:szCs w:val="28"/>
        </w:rPr>
        <w:t>产业数字化、工业化、智</w:t>
      </w:r>
      <w:r>
        <w:rPr>
          <w:rFonts w:hint="eastAsia" w:ascii="仿宋_GB2312" w:hAnsi="仿宋_GB2312" w:eastAsia="仿宋_GB2312" w:cs="仿宋_GB2312"/>
          <w:color w:val="auto"/>
          <w:spacing w:val="-7"/>
          <w:sz w:val="28"/>
          <w:szCs w:val="28"/>
        </w:rPr>
        <w:t>能化发展新趋势，推进建</w:t>
      </w:r>
      <w:r>
        <w:rPr>
          <w:rFonts w:hint="eastAsia" w:ascii="仿宋_GB2312" w:hAnsi="仿宋_GB2312" w:eastAsia="仿宋_GB2312" w:cs="仿宋_GB2312"/>
          <w:color w:val="auto"/>
          <w:spacing w:val="-6"/>
          <w:sz w:val="28"/>
          <w:szCs w:val="28"/>
        </w:rPr>
        <w:t>筑工业化发展，适应</w:t>
      </w:r>
      <w:r>
        <w:rPr>
          <w:rFonts w:hint="eastAsia" w:ascii="仿宋_GB2312" w:hAnsi="仿宋_GB2312" w:eastAsia="仿宋_GB2312" w:cs="仿宋_GB2312"/>
          <w:color w:val="auto"/>
          <w:spacing w:val="-6"/>
          <w:sz w:val="28"/>
          <w:szCs w:val="28"/>
          <w:lang w:eastAsia="zh-CN"/>
        </w:rPr>
        <w:t>测绘专业</w:t>
      </w:r>
      <w:r>
        <w:rPr>
          <w:rFonts w:hint="eastAsia" w:ascii="仿宋_GB2312" w:hAnsi="仿宋_GB2312" w:eastAsia="仿宋_GB2312" w:cs="仿宋_GB2312"/>
          <w:color w:val="auto"/>
          <w:spacing w:val="-7"/>
          <w:sz w:val="28"/>
          <w:szCs w:val="28"/>
        </w:rPr>
        <w:t>等岗位群的新要求，助力</w:t>
      </w:r>
      <w:r>
        <w:rPr>
          <w:rFonts w:hint="eastAsia" w:ascii="仿宋_GB2312" w:hAnsi="仿宋_GB2312" w:eastAsia="仿宋_GB2312" w:cs="仿宋_GB2312"/>
          <w:color w:val="auto"/>
          <w:spacing w:val="-6"/>
          <w:sz w:val="28"/>
          <w:szCs w:val="28"/>
          <w:lang w:eastAsia="zh-CN"/>
        </w:rPr>
        <w:t>测绘行业</w:t>
      </w:r>
      <w:r>
        <w:rPr>
          <w:rFonts w:hint="eastAsia" w:ascii="仿宋_GB2312" w:hAnsi="仿宋_GB2312" w:eastAsia="仿宋_GB2312" w:cs="仿宋_GB2312"/>
          <w:color w:val="auto"/>
          <w:spacing w:val="-6"/>
          <w:sz w:val="28"/>
          <w:szCs w:val="28"/>
        </w:rPr>
        <w:t>。搭建专业、课程、教</w:t>
      </w:r>
      <w:r>
        <w:rPr>
          <w:rFonts w:hint="eastAsia" w:ascii="仿宋_GB2312" w:hAnsi="仿宋_GB2312" w:eastAsia="仿宋_GB2312" w:cs="仿宋_GB2312"/>
          <w:color w:val="auto"/>
          <w:spacing w:val="-7"/>
          <w:sz w:val="28"/>
          <w:szCs w:val="28"/>
        </w:rPr>
        <w:t>材、培养机制改革平台。</w:t>
      </w:r>
    </w:p>
    <w:p w14:paraId="0522DA1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6"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赛项结合</w:t>
      </w:r>
      <w:r>
        <w:rPr>
          <w:rFonts w:hint="eastAsia" w:ascii="仿宋_GB2312" w:hAnsi="仿宋_GB2312" w:eastAsia="仿宋_GB2312" w:cs="仿宋_GB2312"/>
          <w:color w:val="auto"/>
          <w:spacing w:val="-3"/>
          <w:sz w:val="28"/>
          <w:szCs w:val="28"/>
          <w:lang w:val="en-US" w:eastAsia="zh-CN"/>
        </w:rPr>
        <w:t>地理空间信息采集与处理</w:t>
      </w:r>
      <w:r>
        <w:rPr>
          <w:rFonts w:hint="eastAsia" w:ascii="仿宋_GB2312" w:hAnsi="仿宋_GB2312" w:eastAsia="仿宋_GB2312" w:cs="仿宋_GB2312"/>
          <w:color w:val="auto"/>
          <w:spacing w:val="4"/>
          <w:sz w:val="28"/>
          <w:szCs w:val="28"/>
        </w:rPr>
        <w:t>相关岗位对人才的知识、技能、</w:t>
      </w:r>
      <w:r>
        <w:rPr>
          <w:rFonts w:hint="eastAsia" w:ascii="仿宋_GB2312" w:hAnsi="仿宋_GB2312" w:eastAsia="仿宋_GB2312" w:cs="仿宋_GB2312"/>
          <w:color w:val="auto"/>
          <w:spacing w:val="-7"/>
          <w:sz w:val="28"/>
          <w:szCs w:val="28"/>
        </w:rPr>
        <w:t>素养要求，通过检验教学效果，推动职业院校相关专业建设和改革，</w:t>
      </w:r>
      <w:r>
        <w:rPr>
          <w:rFonts w:hint="eastAsia" w:ascii="仿宋_GB2312" w:hAnsi="仿宋_GB2312" w:eastAsia="仿宋_GB2312" w:cs="仿宋_GB2312"/>
          <w:color w:val="auto"/>
          <w:spacing w:val="3"/>
          <w:sz w:val="28"/>
          <w:szCs w:val="28"/>
        </w:rPr>
        <w:t>增强学生的新技术学习能力和就业竞争力；瞄准世界高水平，营造崇尚技能氛围。充分发挥技能大赛对专业建设的</w:t>
      </w:r>
      <w:r>
        <w:rPr>
          <w:rFonts w:hint="eastAsia" w:ascii="仿宋_GB2312" w:hAnsi="仿宋_GB2312" w:eastAsia="仿宋_GB2312" w:cs="仿宋_GB2312"/>
          <w:color w:val="auto"/>
          <w:spacing w:val="2"/>
          <w:sz w:val="28"/>
          <w:szCs w:val="28"/>
        </w:rPr>
        <w:t>促进和引领作用，</w:t>
      </w:r>
      <w:r>
        <w:rPr>
          <w:rFonts w:hint="eastAsia" w:ascii="仿宋_GB2312" w:hAnsi="仿宋_GB2312" w:eastAsia="仿宋_GB2312" w:cs="仿宋_GB2312"/>
          <w:color w:val="auto"/>
          <w:spacing w:val="-1"/>
          <w:sz w:val="28"/>
          <w:szCs w:val="28"/>
        </w:rPr>
        <w:t>以竞赛为抓手，全面推进“岗、课、赛、证”深度融合，促进专业</w:t>
      </w:r>
      <w:r>
        <w:rPr>
          <w:rFonts w:hint="eastAsia" w:ascii="仿宋_GB2312" w:hAnsi="仿宋_GB2312" w:eastAsia="仿宋_GB2312" w:cs="仿宋_GB2312"/>
          <w:color w:val="auto"/>
          <w:spacing w:val="3"/>
          <w:sz w:val="28"/>
          <w:szCs w:val="28"/>
        </w:rPr>
        <w:t>建设、课程建设和教学改革，实现高水平技术技能人才、能工巧匠</w:t>
      </w:r>
      <w:r>
        <w:rPr>
          <w:rFonts w:hint="eastAsia" w:ascii="仿宋_GB2312" w:hAnsi="仿宋_GB2312" w:eastAsia="仿宋_GB2312" w:cs="仿宋_GB2312"/>
          <w:color w:val="auto"/>
          <w:spacing w:val="-7"/>
          <w:sz w:val="28"/>
          <w:szCs w:val="28"/>
        </w:rPr>
        <w:t>和大国工匠的培养。</w:t>
      </w:r>
    </w:p>
    <w:p w14:paraId="539A125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三、竞赛内容</w:t>
      </w:r>
    </w:p>
    <w:p w14:paraId="319877A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突出能力导向、解决实际问题、体现创新因素、确保可评可。</w:t>
      </w:r>
    </w:p>
    <w:p w14:paraId="3816FE2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（一）项目内容</w:t>
      </w:r>
    </w:p>
    <w:p w14:paraId="68261F6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根据赛道设置，结合专业要求，围绕生产、管理、服务一线岗位实际需要和实践要求，立足技能创新，基于参赛学校专业优势和特点，自主确定参赛项目名称，自主设计参赛项目内容。</w:t>
      </w:r>
    </w:p>
    <w:p w14:paraId="3EF7A026">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lang w:val="en-US" w:eastAsia="zh-CN"/>
        </w:rPr>
        <w:t>1、</w:t>
      </w:r>
      <w:r>
        <w:rPr>
          <w:rFonts w:hint="eastAsia" w:ascii="仿宋_GB2312" w:hAnsi="仿宋_GB2312" w:eastAsia="仿宋_GB2312" w:cs="仿宋_GB2312"/>
          <w:color w:val="auto"/>
          <w:spacing w:val="3"/>
          <w:sz w:val="28"/>
          <w:szCs w:val="28"/>
        </w:rPr>
        <w:t>参赛项目确定</w:t>
      </w:r>
    </w:p>
    <w:p w14:paraId="79CB847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根据教育部印发的大赛通知公布的赛道及小组，自主设计和确定参赛项目名称。</w:t>
      </w:r>
    </w:p>
    <w:p w14:paraId="152FE8CA">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设计的参赛项目须符合职业岗位要求，操作规范、安全。不得含有任何违反《中华人民共和国宪法》及其他法律法规的内容。所涉及的发明创造、专利技术、资源等必须拥有清晰、合法的产权或物权。参赛项目如有涉密内容，参赛前须进行脱密处理。不得有抄袭盗用他人成果、提供虚假材料等违反相关法律法规的行为。</w:t>
      </w:r>
    </w:p>
    <w:p w14:paraId="3AD1F0C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lang w:val="en-US" w:eastAsia="zh-CN"/>
        </w:rPr>
        <w:t>2、</w:t>
      </w:r>
      <w:r>
        <w:rPr>
          <w:rFonts w:hint="eastAsia" w:ascii="仿宋_GB2312" w:hAnsi="仿宋_GB2312" w:eastAsia="仿宋_GB2312" w:cs="仿宋_GB2312"/>
          <w:color w:val="auto"/>
          <w:spacing w:val="3"/>
          <w:sz w:val="28"/>
          <w:szCs w:val="28"/>
        </w:rPr>
        <w:t>项目内容设计</w:t>
      </w:r>
    </w:p>
    <w:p w14:paraId="12019CE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应围绕“技能水平、职业素养、应用价值、团队合作、创新创意 ”要素，进行参赛项目的内容设计。</w:t>
      </w:r>
    </w:p>
    <w:p w14:paraId="457CF72C">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技能水平方面应能体现选手技能熟练度、难易度及解决问题的复杂度等；职业素养方面应能体现良好的职业道德、职业精神、工匠精神等；应用价值方面应能体现解决生产、生活一线实际问题或困难以及创造社会经济价值的情况；团队合作方面应能够体现分工明确</w:t>
      </w:r>
      <w:r>
        <w:rPr>
          <w:rFonts w:hint="eastAsia" w:ascii="仿宋_GB2312" w:hAnsi="仿宋_GB2312" w:eastAsia="仿宋_GB2312" w:cs="仿宋_GB2312"/>
          <w:color w:val="auto"/>
          <w:spacing w:val="3"/>
          <w:sz w:val="28"/>
          <w:szCs w:val="28"/>
          <w:lang w:eastAsia="zh-CN"/>
        </w:rPr>
        <w:t>、</w:t>
      </w:r>
      <w:r>
        <w:rPr>
          <w:rFonts w:hint="eastAsia" w:ascii="仿宋_GB2312" w:hAnsi="仿宋_GB2312" w:eastAsia="仿宋_GB2312" w:cs="仿宋_GB2312"/>
          <w:color w:val="auto"/>
          <w:spacing w:val="3"/>
          <w:sz w:val="28"/>
          <w:szCs w:val="28"/>
        </w:rPr>
        <w:t>紧密协作、各司其职、高效沟通、统筹安排等能力；创新创意方面应能体现创新意识、创新理念及技能创新点。</w:t>
      </w:r>
    </w:p>
    <w:p w14:paraId="1B97B8C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（二）项目呈现</w:t>
      </w:r>
    </w:p>
    <w:p w14:paraId="4C980E4F">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参赛队伍根据工作任务，按团队成员分工，进行现场讲解。现场讲解主要介绍总体思路、技能要点、主要成果、项目创新等。每项比赛时长不超过1小时，重点展示核心技能和关键环节。</w:t>
      </w:r>
    </w:p>
    <w:p w14:paraId="60343C9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lang w:val="en-US" w:eastAsia="zh-CN"/>
        </w:rPr>
        <w:t>四、竞赛方式</w:t>
      </w:r>
    </w:p>
    <w:p w14:paraId="5C597F9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(一)竞赛时间</w:t>
      </w:r>
    </w:p>
    <w:tbl>
      <w:tblPr>
        <w:tblStyle w:val="6"/>
        <w:tblW w:w="857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80"/>
        <w:gridCol w:w="1970"/>
        <w:gridCol w:w="5323"/>
      </w:tblGrid>
      <w:tr w14:paraId="7CA51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3250" w:type="dxa"/>
            <w:gridSpan w:val="2"/>
            <w:tcBorders>
              <w:top w:val="single" w:color="000000" w:sz="4" w:space="0"/>
              <w:left w:val="single" w:color="000000" w:sz="4" w:space="0"/>
              <w:bottom w:val="single" w:color="000000" w:sz="4" w:space="0"/>
              <w:right w:val="single" w:color="000000" w:sz="4" w:space="0"/>
            </w:tcBorders>
            <w:noWrap w:val="0"/>
            <w:vAlign w:val="center"/>
          </w:tcPr>
          <w:p w14:paraId="662B46E8">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snapToGrid w:val="0"/>
                <w:color w:val="000000"/>
                <w:kern w:val="0"/>
                <w:sz w:val="28"/>
                <w:szCs w:val="28"/>
                <w:u w:val="none"/>
                <w:lang w:val="en-US" w:eastAsia="zh-CN" w:bidi="ar"/>
              </w:rPr>
              <w:t>时间</w:t>
            </w:r>
          </w:p>
        </w:tc>
        <w:tc>
          <w:tcPr>
            <w:tcW w:w="5323" w:type="dxa"/>
            <w:tcBorders>
              <w:top w:val="single" w:color="000000" w:sz="4" w:space="0"/>
              <w:left w:val="single" w:color="000000" w:sz="4" w:space="0"/>
              <w:bottom w:val="single" w:color="000000" w:sz="4" w:space="0"/>
              <w:right w:val="single" w:color="000000" w:sz="4" w:space="0"/>
            </w:tcBorders>
            <w:noWrap w:val="0"/>
            <w:vAlign w:val="center"/>
          </w:tcPr>
          <w:p w14:paraId="31AD5B7A">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snapToGrid w:val="0"/>
                <w:color w:val="000000"/>
                <w:kern w:val="0"/>
                <w:sz w:val="28"/>
                <w:szCs w:val="28"/>
                <w:u w:val="none"/>
                <w:lang w:val="en-US" w:eastAsia="zh-CN" w:bidi="ar"/>
              </w:rPr>
              <w:t>内容</w:t>
            </w:r>
          </w:p>
        </w:tc>
      </w:tr>
      <w:tr w14:paraId="5E304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DC33425">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竞赛</w:t>
            </w:r>
          </w:p>
          <w:p w14:paraId="54C65813">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第一天</w:t>
            </w:r>
          </w:p>
        </w:tc>
        <w:tc>
          <w:tcPr>
            <w:tcW w:w="1970" w:type="dxa"/>
            <w:tcBorders>
              <w:top w:val="single" w:color="000000" w:sz="4" w:space="0"/>
              <w:left w:val="single" w:color="000000" w:sz="4" w:space="0"/>
              <w:bottom w:val="single" w:color="000000" w:sz="4" w:space="0"/>
              <w:right w:val="single" w:color="000000" w:sz="4" w:space="0"/>
            </w:tcBorders>
            <w:noWrap w:val="0"/>
            <w:vAlign w:val="center"/>
          </w:tcPr>
          <w:p w14:paraId="58BA337A">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9:30-11:30</w:t>
            </w:r>
          </w:p>
        </w:tc>
        <w:tc>
          <w:tcPr>
            <w:tcW w:w="5323" w:type="dxa"/>
            <w:tcBorders>
              <w:top w:val="single" w:color="000000" w:sz="4" w:space="0"/>
              <w:left w:val="single" w:color="000000" w:sz="4" w:space="0"/>
              <w:bottom w:val="single" w:color="000000" w:sz="4" w:space="0"/>
              <w:right w:val="single" w:color="000000" w:sz="4" w:space="0"/>
            </w:tcBorders>
            <w:noWrap w:val="0"/>
            <w:vAlign w:val="center"/>
          </w:tcPr>
          <w:p w14:paraId="761805A5">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赛项说明，学生检录入场、第一、二次抽签、检查确认竞赛环境</w:t>
            </w:r>
          </w:p>
        </w:tc>
      </w:tr>
      <w:tr w14:paraId="6F584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0" w:hRule="atLeast"/>
        </w:trPr>
        <w:tc>
          <w:tcPr>
            <w:tcW w:w="12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CFE4C5">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仿宋_GB2312" w:hAnsi="仿宋_GB2312" w:eastAsia="仿宋_GB2312" w:cs="仿宋_GB2312"/>
                <w:i w:val="0"/>
                <w:iCs w:val="0"/>
                <w:color w:val="000000"/>
                <w:sz w:val="28"/>
                <w:szCs w:val="28"/>
                <w:u w:val="none"/>
              </w:rPr>
            </w:pPr>
          </w:p>
        </w:tc>
        <w:tc>
          <w:tcPr>
            <w:tcW w:w="7293" w:type="dxa"/>
            <w:gridSpan w:val="2"/>
            <w:tcBorders>
              <w:top w:val="single" w:color="000000" w:sz="4" w:space="0"/>
              <w:left w:val="single" w:color="000000" w:sz="4" w:space="0"/>
              <w:bottom w:val="single" w:color="000000" w:sz="4" w:space="0"/>
              <w:right w:val="single" w:color="000000" w:sz="4" w:space="0"/>
            </w:tcBorders>
            <w:noWrap w:val="0"/>
            <w:vAlign w:val="center"/>
          </w:tcPr>
          <w:p w14:paraId="7E9FFF3A">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p>
          <w:p w14:paraId="7D3EE25C">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正式比赛                    下午14:00-16:00</w:t>
            </w:r>
          </w:p>
          <w:p w14:paraId="0768BE28">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p>
          <w:p w14:paraId="3313FBD9">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仿宋_GB2312" w:hAnsi="仿宋_GB2312" w:eastAsia="仿宋_GB2312" w:cs="仿宋_GB2312"/>
                <w:i w:val="0"/>
                <w:iCs w:val="0"/>
                <w:color w:val="000000"/>
                <w:sz w:val="28"/>
                <w:szCs w:val="28"/>
                <w:u w:val="none"/>
              </w:rPr>
            </w:pPr>
          </w:p>
        </w:tc>
      </w:tr>
      <w:tr w14:paraId="1C9C8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0" w:hRule="atLeast"/>
        </w:trPr>
        <w:tc>
          <w:tcPr>
            <w:tcW w:w="1280" w:type="dxa"/>
            <w:tcBorders>
              <w:top w:val="single" w:color="000000" w:sz="4" w:space="0"/>
              <w:left w:val="single" w:color="000000" w:sz="4" w:space="0"/>
              <w:bottom w:val="single" w:color="000000" w:sz="4" w:space="0"/>
              <w:right w:val="single" w:color="000000" w:sz="4" w:space="0"/>
            </w:tcBorders>
            <w:noWrap w:val="0"/>
            <w:vAlign w:val="center"/>
          </w:tcPr>
          <w:p w14:paraId="19D123FD">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center"/>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竞赛</w:t>
            </w:r>
          </w:p>
          <w:p w14:paraId="680F5647">
            <w:pPr>
              <w:keepNext w:val="0"/>
              <w:keepLines w:val="0"/>
              <w:pageBreakBefore w:val="0"/>
              <w:widowControl/>
              <w:kinsoku w:val="0"/>
              <w:wordWrap/>
              <w:overflowPunct/>
              <w:topLinePunct w:val="0"/>
              <w:autoSpaceDE w:val="0"/>
              <w:autoSpaceDN w:val="0"/>
              <w:bidi w:val="0"/>
              <w:adjustRightInd w:val="0"/>
              <w:snapToGrid w:val="0"/>
              <w:spacing w:line="560" w:lineRule="exact"/>
              <w:jc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第二天</w:t>
            </w:r>
          </w:p>
        </w:tc>
        <w:tc>
          <w:tcPr>
            <w:tcW w:w="7293" w:type="dxa"/>
            <w:gridSpan w:val="2"/>
            <w:tcBorders>
              <w:top w:val="single" w:color="000000" w:sz="4" w:space="0"/>
              <w:left w:val="single" w:color="000000" w:sz="4" w:space="0"/>
              <w:bottom w:val="single" w:color="000000" w:sz="4" w:space="0"/>
              <w:right w:val="single" w:color="000000" w:sz="4" w:space="0"/>
            </w:tcBorders>
            <w:noWrap w:val="0"/>
            <w:vAlign w:val="center"/>
          </w:tcPr>
          <w:p w14:paraId="24C4DB16">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正式比赛                    上午9:30-11:30</w:t>
            </w:r>
          </w:p>
          <w:p w14:paraId="05EED0FF">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p>
          <w:p w14:paraId="22C82B56">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成绩评定                    下午14:00-16:00</w:t>
            </w:r>
          </w:p>
          <w:p w14:paraId="08266850">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center"/>
              <w:rPr>
                <w:rFonts w:hint="eastAsia" w:ascii="仿宋_GB2312" w:hAnsi="仿宋_GB2312" w:eastAsia="仿宋_GB2312" w:cs="仿宋_GB2312"/>
                <w:i w:val="0"/>
                <w:iCs w:val="0"/>
                <w:color w:val="000000"/>
                <w:sz w:val="28"/>
                <w:szCs w:val="28"/>
                <w:u w:val="none"/>
              </w:rPr>
            </w:pPr>
          </w:p>
        </w:tc>
      </w:tr>
    </w:tbl>
    <w:p w14:paraId="19893C7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w:t>
      </w:r>
      <w:r>
        <w:rPr>
          <w:rFonts w:hint="eastAsia" w:ascii="仿宋_GB2312" w:hAnsi="仿宋_GB2312" w:eastAsia="仿宋_GB2312" w:cs="仿宋_GB2312"/>
          <w:b/>
          <w:bCs/>
          <w:color w:val="auto"/>
          <w:spacing w:val="2"/>
          <w:sz w:val="28"/>
          <w:szCs w:val="28"/>
          <w:lang w:val="en-US" w:eastAsia="zh-CN"/>
        </w:rPr>
        <w:t>二</w:t>
      </w:r>
      <w:r>
        <w:rPr>
          <w:rFonts w:hint="eastAsia" w:ascii="仿宋_GB2312" w:hAnsi="仿宋_GB2312" w:eastAsia="仿宋_GB2312" w:cs="仿宋_GB2312"/>
          <w:b/>
          <w:bCs/>
          <w:color w:val="auto"/>
          <w:spacing w:val="2"/>
          <w:sz w:val="28"/>
          <w:szCs w:val="28"/>
        </w:rPr>
        <w:t>)竞赛形式</w:t>
      </w:r>
    </w:p>
    <w:p w14:paraId="6388368B">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线下比赛</w:t>
      </w:r>
    </w:p>
    <w:p w14:paraId="2C29DA1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w:t>
      </w:r>
      <w:r>
        <w:rPr>
          <w:rFonts w:hint="eastAsia" w:ascii="仿宋_GB2312" w:hAnsi="仿宋_GB2312" w:eastAsia="仿宋_GB2312" w:cs="仿宋_GB2312"/>
          <w:b/>
          <w:bCs/>
          <w:color w:val="auto"/>
          <w:spacing w:val="2"/>
          <w:sz w:val="28"/>
          <w:szCs w:val="28"/>
          <w:lang w:val="en-US" w:eastAsia="zh-CN"/>
        </w:rPr>
        <w:t>三</w:t>
      </w:r>
      <w:r>
        <w:rPr>
          <w:rFonts w:hint="eastAsia" w:ascii="仿宋_GB2312" w:hAnsi="仿宋_GB2312" w:eastAsia="仿宋_GB2312" w:cs="仿宋_GB2312"/>
          <w:b/>
          <w:bCs/>
          <w:color w:val="auto"/>
          <w:spacing w:val="2"/>
          <w:sz w:val="28"/>
          <w:szCs w:val="28"/>
        </w:rPr>
        <w:t>)组队方式</w:t>
      </w:r>
    </w:p>
    <w:p w14:paraId="20B34119">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1、组队方式为团体赛，每组参赛学生4名，</w:t>
      </w:r>
    </w:p>
    <w:p w14:paraId="3ECA06F3">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2、参赛选手须为2023年度本校全日制在籍学生（以报名时的学籍信息为准）。</w:t>
      </w:r>
    </w:p>
    <w:p w14:paraId="1281C2D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lang w:val="en-US" w:eastAsia="zh-CN"/>
        </w:rPr>
        <w:t>六</w:t>
      </w:r>
      <w:r>
        <w:rPr>
          <w:rFonts w:hint="eastAsia" w:ascii="仿宋_GB2312" w:hAnsi="仿宋_GB2312" w:eastAsia="仿宋_GB2312" w:cs="仿宋_GB2312"/>
          <w:b/>
          <w:bCs/>
          <w:color w:val="auto"/>
          <w:spacing w:val="2"/>
          <w:sz w:val="28"/>
          <w:szCs w:val="28"/>
        </w:rPr>
        <w:t>、抽签方法</w:t>
      </w:r>
    </w:p>
    <w:p w14:paraId="3BC3368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方法：报到时领取选手参赛号，赛前说明会后采用人工方式进行抽签，抽取抽签顺序号。根据抽签顺序号依次进行现场讲解。</w:t>
      </w:r>
    </w:p>
    <w:p w14:paraId="79A455F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原则：确保抽签公平、公正。</w:t>
      </w:r>
    </w:p>
    <w:p w14:paraId="1169D6B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七、竞赛规则</w:t>
      </w:r>
    </w:p>
    <w:p w14:paraId="1576A66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(一)选手报名</w:t>
      </w:r>
    </w:p>
    <w:p w14:paraId="566EB308">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参赛选手须为2023年度本校全日制在籍学生（以报名时的学籍信息为准）。</w:t>
      </w:r>
    </w:p>
    <w:p w14:paraId="0DA7699C">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(二)熟悉场地</w:t>
      </w:r>
    </w:p>
    <w:p w14:paraId="1752E03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大赛报到当日，将由大赛组委会统一组织参赛团队，在规定时间地点，有序熟悉竞赛场地。必须严格遵守大赛相关制度，听从大赛组委会安排，不得拥挤打闹。</w:t>
      </w:r>
    </w:p>
    <w:p w14:paraId="27CCAA4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(三)入场规则</w:t>
      </w:r>
    </w:p>
    <w:p w14:paraId="1CC8C84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参赛选手需在指定位置检录入场，检录时提供参赛证、学生证和身份证（三证齐全）。赛前按抽签顺序进场，比赛开始15分钟后不得入场。</w:t>
      </w:r>
    </w:p>
    <w:p w14:paraId="039D089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(四)赛场规则</w:t>
      </w:r>
    </w:p>
    <w:p w14:paraId="5D11FE1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1、应文明参赛，服从裁判统一指挥，尊重赛场工作人员，自觉维护赛场秩序。在参赛中出现设备故障等突发情况，要及时报告现场裁判。如参赛选手因不服从裁判而停止比赛，则以弃权处理。</w:t>
      </w:r>
    </w:p>
    <w:p w14:paraId="43BDEF5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2、须遵守比赛项目相关的安全操作流程，防止发生安全事故。</w:t>
      </w:r>
    </w:p>
    <w:p w14:paraId="3ABD7DB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3、应爱护赛场使用的设备、仪器等，不得人为损坏比赛所使用的仪器设备。</w:t>
      </w:r>
    </w:p>
    <w:p w14:paraId="7DFC3A0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4、须严格按照规定时间进入候考区和比赛场地，不允许携带与参赛设备无关的电子产品及通讯工具，以及其他与竞赛有关的资料和书籍，不得以任何方式泄露参赛学校、选手姓名等涉及竞赛场上应该保密的信息。</w:t>
      </w:r>
    </w:p>
    <w:p w14:paraId="34758BB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5、对于认为有影响参赛队比赛成绩的有关行为，应向指导老师和领队反映，由指导老师和领队按大赛制度规定进行申诉。参赛选手不得利用比赛相关的微信群、QQ群、钉钉群等发表虚假信息和不当言论。</w:t>
      </w:r>
    </w:p>
    <w:p w14:paraId="38BCE98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(五)离场规则</w:t>
      </w:r>
    </w:p>
    <w:p w14:paraId="599D08F7">
      <w:pPr>
        <w:keepNext w:val="0"/>
        <w:keepLines w:val="0"/>
        <w:pageBreakBefore w:val="0"/>
        <w:widowControl/>
        <w:kinsoku w:val="0"/>
        <w:wordWrap/>
        <w:overflowPunct/>
        <w:topLinePunct w:val="0"/>
        <w:autoSpaceDE w:val="0"/>
        <w:autoSpaceDN w:val="0"/>
        <w:bidi w:val="0"/>
        <w:adjustRightInd w:val="0"/>
        <w:snapToGrid w:val="0"/>
        <w:spacing w:line="560" w:lineRule="exact"/>
        <w:ind w:firstLine="572" w:firstLineChars="200"/>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如果选手提前结束比赛，应报裁判员批准，比赛终止时间由裁判员记录在案，选手提前结束比赛后不得再进行任何比赛相关工作。裁判长在比赛结束前15分钟对选手做出提示。裁判长宣布比赛结束后，选手应立即停止各项工作。</w:t>
      </w:r>
    </w:p>
    <w:p w14:paraId="25C67EC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(六)成绩评定与结果公布</w:t>
      </w:r>
    </w:p>
    <w:p w14:paraId="036F5647">
      <w:pPr>
        <w:keepNext w:val="0"/>
        <w:keepLines w:val="0"/>
        <w:pageBreakBefore w:val="0"/>
        <w:widowControl/>
        <w:kinsoku w:val="0"/>
        <w:wordWrap/>
        <w:overflowPunct/>
        <w:topLinePunct w:val="0"/>
        <w:autoSpaceDE w:val="0"/>
        <w:autoSpaceDN w:val="0"/>
        <w:bidi w:val="0"/>
        <w:adjustRightInd w:val="0"/>
        <w:snapToGrid w:val="0"/>
        <w:spacing w:before="78" w:line="560" w:lineRule="exact"/>
        <w:ind w:left="46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（原则：突出能力导向、解决实际问题、体现创新因素、确保公平可比）</w:t>
      </w:r>
    </w:p>
    <w:tbl>
      <w:tblPr>
        <w:tblStyle w:val="9"/>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5"/>
        <w:gridCol w:w="6437"/>
        <w:gridCol w:w="945"/>
      </w:tblGrid>
      <w:tr w14:paraId="1F262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1" w:hRule="atLeast"/>
        </w:trPr>
        <w:tc>
          <w:tcPr>
            <w:tcW w:w="1625" w:type="dxa"/>
            <w:vAlign w:val="top"/>
          </w:tcPr>
          <w:p w14:paraId="0A9E92F1">
            <w:pPr>
              <w:keepNext w:val="0"/>
              <w:keepLines w:val="0"/>
              <w:pageBreakBefore w:val="0"/>
              <w:widowControl/>
              <w:kinsoku w:val="0"/>
              <w:wordWrap/>
              <w:overflowPunct/>
              <w:topLinePunct w:val="0"/>
              <w:autoSpaceDE w:val="0"/>
              <w:autoSpaceDN w:val="0"/>
              <w:bidi w:val="0"/>
              <w:adjustRightInd w:val="0"/>
              <w:snapToGrid w:val="0"/>
              <w:spacing w:before="124" w:line="560" w:lineRule="exact"/>
              <w:ind w:left="280" w:right="262" w:hanging="7"/>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评分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pacing w:val="-10"/>
                <w:sz w:val="28"/>
                <w:szCs w:val="28"/>
              </w:rPr>
              <w:t>要点</w:t>
            </w:r>
          </w:p>
        </w:tc>
        <w:tc>
          <w:tcPr>
            <w:tcW w:w="6437" w:type="dxa"/>
            <w:vAlign w:val="top"/>
          </w:tcPr>
          <w:p w14:paraId="2805106B">
            <w:pPr>
              <w:keepNext w:val="0"/>
              <w:keepLines w:val="0"/>
              <w:pageBreakBefore w:val="0"/>
              <w:widowControl/>
              <w:kinsoku w:val="0"/>
              <w:wordWrap/>
              <w:overflowPunct/>
              <w:topLinePunct w:val="0"/>
              <w:autoSpaceDE w:val="0"/>
              <w:autoSpaceDN w:val="0"/>
              <w:bidi w:val="0"/>
              <w:adjustRightInd w:val="0"/>
              <w:snapToGrid w:val="0"/>
              <w:spacing w:before="312" w:line="560" w:lineRule="exact"/>
              <w:ind w:left="2869"/>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评审内容</w:t>
            </w:r>
          </w:p>
        </w:tc>
        <w:tc>
          <w:tcPr>
            <w:tcW w:w="945" w:type="dxa"/>
            <w:vAlign w:val="top"/>
          </w:tcPr>
          <w:p w14:paraId="53CFA44C">
            <w:pPr>
              <w:keepNext w:val="0"/>
              <w:keepLines w:val="0"/>
              <w:pageBreakBefore w:val="0"/>
              <w:widowControl/>
              <w:kinsoku w:val="0"/>
              <w:wordWrap/>
              <w:overflowPunct/>
              <w:topLinePunct w:val="0"/>
              <w:autoSpaceDE w:val="0"/>
              <w:autoSpaceDN w:val="0"/>
              <w:bidi w:val="0"/>
              <w:adjustRightInd w:val="0"/>
              <w:snapToGrid w:val="0"/>
              <w:spacing w:before="312" w:line="560" w:lineRule="exact"/>
              <w:ind w:left="175"/>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权重</w:t>
            </w:r>
          </w:p>
        </w:tc>
      </w:tr>
      <w:tr w14:paraId="46B65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3" w:hRule="atLeast"/>
        </w:trPr>
        <w:tc>
          <w:tcPr>
            <w:tcW w:w="1625" w:type="dxa"/>
            <w:vAlign w:val="top"/>
          </w:tcPr>
          <w:p w14:paraId="4A286F7E">
            <w:pPr>
              <w:keepNext w:val="0"/>
              <w:keepLines w:val="0"/>
              <w:pageBreakBefore w:val="0"/>
              <w:widowControl/>
              <w:kinsoku w:val="0"/>
              <w:wordWrap/>
              <w:overflowPunct/>
              <w:topLinePunct w:val="0"/>
              <w:autoSpaceDE w:val="0"/>
              <w:autoSpaceDN w:val="0"/>
              <w:bidi w:val="0"/>
              <w:adjustRightInd w:val="0"/>
              <w:snapToGrid w:val="0"/>
              <w:spacing w:before="305" w:line="560" w:lineRule="exact"/>
              <w:ind w:left="272" w:right="265" w:firstLine="3"/>
              <w:jc w:val="left"/>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技能</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水平</w:t>
            </w:r>
          </w:p>
        </w:tc>
        <w:tc>
          <w:tcPr>
            <w:tcW w:w="6437" w:type="dxa"/>
            <w:vAlign w:val="top"/>
          </w:tcPr>
          <w:p w14:paraId="452CC1C1">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132"/>
              <w:jc w:val="left"/>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熟练掌握本专业或工作岗位的技能。</w:t>
            </w:r>
          </w:p>
          <w:p w14:paraId="3A5BDE48">
            <w:pPr>
              <w:keepNext w:val="0"/>
              <w:keepLines w:val="0"/>
              <w:pageBreakBefore w:val="0"/>
              <w:widowControl/>
              <w:kinsoku w:val="0"/>
              <w:wordWrap/>
              <w:overflowPunct/>
              <w:topLinePunct w:val="0"/>
              <w:autoSpaceDE w:val="0"/>
              <w:autoSpaceDN w:val="0"/>
              <w:bidi w:val="0"/>
              <w:adjustRightInd w:val="0"/>
              <w:snapToGrid w:val="0"/>
              <w:spacing w:before="93" w:line="560" w:lineRule="exact"/>
              <w:ind w:left="109"/>
              <w:jc w:val="left"/>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  技能操作规范，符合行业和岗位标准。</w:t>
            </w:r>
          </w:p>
          <w:p w14:paraId="15E5DB67">
            <w:pPr>
              <w:keepNext w:val="0"/>
              <w:keepLines w:val="0"/>
              <w:pageBreakBefore w:val="0"/>
              <w:widowControl/>
              <w:kinsoku w:val="0"/>
              <w:wordWrap/>
              <w:overflowPunct/>
              <w:topLinePunct w:val="0"/>
              <w:autoSpaceDE w:val="0"/>
              <w:autoSpaceDN w:val="0"/>
              <w:bidi w:val="0"/>
              <w:adjustRightInd w:val="0"/>
              <w:snapToGrid w:val="0"/>
              <w:spacing w:before="91" w:line="560" w:lineRule="exact"/>
              <w:ind w:left="113"/>
              <w:jc w:val="left"/>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具备较高的技能操作水平及解决复杂问题的综合能力。</w:t>
            </w:r>
          </w:p>
        </w:tc>
        <w:tc>
          <w:tcPr>
            <w:tcW w:w="945" w:type="dxa"/>
            <w:vAlign w:val="top"/>
          </w:tcPr>
          <w:p w14:paraId="235E93AC">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121540A1">
            <w:pPr>
              <w:keepNext w:val="0"/>
              <w:keepLines w:val="0"/>
              <w:pageBreakBefore w:val="0"/>
              <w:widowControl/>
              <w:kinsoku w:val="0"/>
              <w:wordWrap/>
              <w:overflowPunct/>
              <w:topLinePunct w:val="0"/>
              <w:autoSpaceDE w:val="0"/>
              <w:autoSpaceDN w:val="0"/>
              <w:bidi w:val="0"/>
              <w:adjustRightInd w:val="0"/>
              <w:snapToGrid w:val="0"/>
              <w:spacing w:before="69" w:line="560" w:lineRule="exact"/>
              <w:ind w:left="192"/>
              <w:jc w:val="left"/>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60%</w:t>
            </w:r>
          </w:p>
        </w:tc>
      </w:tr>
      <w:tr w14:paraId="28DA3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9" w:hRule="atLeast"/>
        </w:trPr>
        <w:tc>
          <w:tcPr>
            <w:tcW w:w="1625" w:type="dxa"/>
            <w:vAlign w:val="top"/>
          </w:tcPr>
          <w:p w14:paraId="542CCD0E">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1FDFE69D">
            <w:pPr>
              <w:keepNext w:val="0"/>
              <w:keepLines w:val="0"/>
              <w:pageBreakBefore w:val="0"/>
              <w:widowControl/>
              <w:kinsoku w:val="0"/>
              <w:wordWrap/>
              <w:overflowPunct/>
              <w:topLinePunct w:val="0"/>
              <w:autoSpaceDE w:val="0"/>
              <w:autoSpaceDN w:val="0"/>
              <w:bidi w:val="0"/>
              <w:adjustRightInd w:val="0"/>
              <w:snapToGrid w:val="0"/>
              <w:spacing w:before="78" w:line="560" w:lineRule="exact"/>
              <w:ind w:left="283" w:right="265"/>
              <w:jc w:val="left"/>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职业</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素养</w:t>
            </w:r>
          </w:p>
        </w:tc>
        <w:tc>
          <w:tcPr>
            <w:tcW w:w="6437" w:type="dxa"/>
            <w:vAlign w:val="top"/>
          </w:tcPr>
          <w:p w14:paraId="609755E7">
            <w:pPr>
              <w:keepNext w:val="0"/>
              <w:keepLines w:val="0"/>
              <w:pageBreakBefore w:val="0"/>
              <w:widowControl/>
              <w:kinsoku w:val="0"/>
              <w:wordWrap/>
              <w:overflowPunct/>
              <w:topLinePunct w:val="0"/>
              <w:autoSpaceDE w:val="0"/>
              <w:autoSpaceDN w:val="0"/>
              <w:bidi w:val="0"/>
              <w:adjustRightInd w:val="0"/>
              <w:snapToGrid w:val="0"/>
              <w:spacing w:before="121" w:line="560" w:lineRule="exact"/>
              <w:ind w:left="132"/>
              <w:jc w:val="left"/>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展现较好的职业伦理，具有工匠精神。</w:t>
            </w:r>
          </w:p>
          <w:p w14:paraId="0DB38ACF">
            <w:pPr>
              <w:keepNext w:val="0"/>
              <w:keepLines w:val="0"/>
              <w:pageBreakBefore w:val="0"/>
              <w:widowControl/>
              <w:kinsoku w:val="0"/>
              <w:wordWrap/>
              <w:overflowPunct/>
              <w:topLinePunct w:val="0"/>
              <w:autoSpaceDE w:val="0"/>
              <w:autoSpaceDN w:val="0"/>
              <w:bidi w:val="0"/>
              <w:adjustRightInd w:val="0"/>
              <w:snapToGrid w:val="0"/>
              <w:spacing w:before="91" w:line="56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2.  展现学校对学生全面培养、基本素养培育和成长发展的成效。</w:t>
            </w:r>
          </w:p>
          <w:p w14:paraId="01EC5A1F">
            <w:pPr>
              <w:keepNext w:val="0"/>
              <w:keepLines w:val="0"/>
              <w:pageBreakBefore w:val="0"/>
              <w:widowControl/>
              <w:kinsoku w:val="0"/>
              <w:wordWrap/>
              <w:overflowPunct/>
              <w:topLinePunct w:val="0"/>
              <w:autoSpaceDE w:val="0"/>
              <w:autoSpaceDN w:val="0"/>
              <w:bidi w:val="0"/>
              <w:adjustRightInd w:val="0"/>
              <w:snapToGrid w:val="0"/>
              <w:spacing w:before="90" w:line="560" w:lineRule="exact"/>
              <w:ind w:left="113"/>
              <w:jc w:val="left"/>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展现职业教育育人成果，体现产教融合、科教</w:t>
            </w:r>
            <w:r>
              <w:rPr>
                <w:rFonts w:hint="eastAsia" w:ascii="仿宋_GB2312" w:hAnsi="仿宋_GB2312" w:eastAsia="仿宋_GB2312" w:cs="仿宋_GB2312"/>
                <w:spacing w:val="-3"/>
                <w:sz w:val="28"/>
                <w:szCs w:val="28"/>
              </w:rPr>
              <w:t>融汇。</w:t>
            </w:r>
          </w:p>
          <w:p w14:paraId="180932C4">
            <w:pPr>
              <w:keepNext w:val="0"/>
              <w:keepLines w:val="0"/>
              <w:pageBreakBefore w:val="0"/>
              <w:widowControl/>
              <w:kinsoku w:val="0"/>
              <w:wordWrap/>
              <w:overflowPunct/>
              <w:topLinePunct w:val="0"/>
              <w:autoSpaceDE w:val="0"/>
              <w:autoSpaceDN w:val="0"/>
              <w:bidi w:val="0"/>
              <w:adjustRightInd w:val="0"/>
              <w:snapToGrid w:val="0"/>
              <w:spacing w:before="90" w:line="560" w:lineRule="exact"/>
              <w:ind w:left="107"/>
              <w:jc w:val="left"/>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4.  具备良好的职业道德、职业精神、职业</w:t>
            </w:r>
            <w:r>
              <w:rPr>
                <w:rFonts w:hint="eastAsia" w:ascii="仿宋_GB2312" w:hAnsi="仿宋_GB2312" w:eastAsia="仿宋_GB2312" w:cs="仿宋_GB2312"/>
                <w:spacing w:val="-3"/>
                <w:sz w:val="28"/>
                <w:szCs w:val="28"/>
              </w:rPr>
              <w:t>素养。</w:t>
            </w:r>
          </w:p>
        </w:tc>
        <w:tc>
          <w:tcPr>
            <w:tcW w:w="945" w:type="dxa"/>
            <w:vAlign w:val="top"/>
          </w:tcPr>
          <w:p w14:paraId="0154379A">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23F72CF9">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434C9FB6">
            <w:pPr>
              <w:keepNext w:val="0"/>
              <w:keepLines w:val="0"/>
              <w:pageBreakBefore w:val="0"/>
              <w:widowControl/>
              <w:kinsoku w:val="0"/>
              <w:wordWrap/>
              <w:overflowPunct/>
              <w:topLinePunct w:val="0"/>
              <w:autoSpaceDE w:val="0"/>
              <w:autoSpaceDN w:val="0"/>
              <w:bidi w:val="0"/>
              <w:adjustRightInd w:val="0"/>
              <w:snapToGrid w:val="0"/>
              <w:spacing w:before="69" w:line="560" w:lineRule="exact"/>
              <w:ind w:left="210"/>
              <w:jc w:val="left"/>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28359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1625" w:type="dxa"/>
            <w:vAlign w:val="top"/>
          </w:tcPr>
          <w:p w14:paraId="3B39726F">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18254CDD">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688F46B5">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6BC9B9AD">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276A2E8B">
            <w:pPr>
              <w:keepNext w:val="0"/>
              <w:keepLines w:val="0"/>
              <w:pageBreakBefore w:val="0"/>
              <w:widowControl/>
              <w:kinsoku w:val="0"/>
              <w:wordWrap/>
              <w:overflowPunct/>
              <w:topLinePunct w:val="0"/>
              <w:autoSpaceDE w:val="0"/>
              <w:autoSpaceDN w:val="0"/>
              <w:bidi w:val="0"/>
              <w:adjustRightInd w:val="0"/>
              <w:snapToGrid w:val="0"/>
              <w:spacing w:before="78" w:line="560" w:lineRule="exact"/>
              <w:ind w:left="273" w:right="265" w:firstLine="5"/>
              <w:jc w:val="left"/>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应用</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价值</w:t>
            </w:r>
          </w:p>
        </w:tc>
        <w:tc>
          <w:tcPr>
            <w:tcW w:w="6437" w:type="dxa"/>
            <w:vAlign w:val="top"/>
          </w:tcPr>
          <w:p w14:paraId="4899D1F7">
            <w:pPr>
              <w:keepNext w:val="0"/>
              <w:keepLines w:val="0"/>
              <w:pageBreakBefore w:val="0"/>
              <w:widowControl/>
              <w:kinsoku w:val="0"/>
              <w:wordWrap/>
              <w:overflowPunct/>
              <w:topLinePunct w:val="0"/>
              <w:autoSpaceDE w:val="0"/>
              <w:autoSpaceDN w:val="0"/>
              <w:bidi w:val="0"/>
              <w:adjustRightInd w:val="0"/>
              <w:snapToGrid w:val="0"/>
              <w:spacing w:before="121" w:line="560" w:lineRule="exact"/>
              <w:ind w:left="132"/>
              <w:jc w:val="left"/>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有助于解决生产一线实际问题或现实困难。</w:t>
            </w:r>
          </w:p>
          <w:p w14:paraId="49759570">
            <w:pPr>
              <w:keepNext w:val="0"/>
              <w:keepLines w:val="0"/>
              <w:pageBreakBefore w:val="0"/>
              <w:widowControl/>
              <w:kinsoku w:val="0"/>
              <w:wordWrap/>
              <w:overflowPunct/>
              <w:topLinePunct w:val="0"/>
              <w:autoSpaceDE w:val="0"/>
              <w:autoSpaceDN w:val="0"/>
              <w:bidi w:val="0"/>
              <w:adjustRightInd w:val="0"/>
              <w:snapToGrid w:val="0"/>
              <w:spacing w:before="89" w:line="560" w:lineRule="exact"/>
              <w:ind w:left="115" w:right="104" w:hanging="6"/>
              <w:jc w:val="left"/>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w:t>
            </w:r>
            <w:r>
              <w:rPr>
                <w:rFonts w:hint="eastAsia" w:ascii="仿宋_GB2312" w:hAnsi="仿宋_GB2312" w:eastAsia="仿宋_GB2312" w:cs="仿宋_GB2312"/>
                <w:spacing w:val="20"/>
                <w:sz w:val="28"/>
                <w:szCs w:val="28"/>
              </w:rPr>
              <w:t xml:space="preserve">  </w:t>
            </w:r>
            <w:r>
              <w:rPr>
                <w:rFonts w:hint="eastAsia" w:ascii="仿宋_GB2312" w:hAnsi="仿宋_GB2312" w:eastAsia="仿宋_GB2312" w:cs="仿宋_GB2312"/>
                <w:spacing w:val="-4"/>
                <w:sz w:val="28"/>
                <w:szCs w:val="28"/>
              </w:rPr>
              <w:t>能够促进职业学校学生高质量就业，包括直接间接推动扩大</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9"/>
                <w:sz w:val="28"/>
                <w:szCs w:val="28"/>
              </w:rPr>
              <w:t>就业规模等。</w:t>
            </w:r>
          </w:p>
          <w:p w14:paraId="5D1AFA88">
            <w:pPr>
              <w:keepNext w:val="0"/>
              <w:keepLines w:val="0"/>
              <w:pageBreakBefore w:val="0"/>
              <w:widowControl/>
              <w:kinsoku w:val="0"/>
              <w:wordWrap/>
              <w:overflowPunct/>
              <w:topLinePunct w:val="0"/>
              <w:autoSpaceDE w:val="0"/>
              <w:autoSpaceDN w:val="0"/>
              <w:bidi w:val="0"/>
              <w:adjustRightInd w:val="0"/>
              <w:snapToGrid w:val="0"/>
              <w:spacing w:before="87" w:line="560" w:lineRule="exact"/>
              <w:ind w:left="125" w:right="104" w:hanging="12"/>
              <w:jc w:val="left"/>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  对推动产业转型升级、区域经济发展、乡村振兴、城市社区</w:t>
            </w:r>
            <w:r>
              <w:rPr>
                <w:rFonts w:hint="eastAsia" w:ascii="仿宋_GB2312" w:hAnsi="仿宋_GB2312" w:eastAsia="仿宋_GB2312" w:cs="仿宋_GB2312"/>
                <w:spacing w:val="14"/>
                <w:sz w:val="28"/>
                <w:szCs w:val="28"/>
              </w:rPr>
              <w:t xml:space="preserve"> </w:t>
            </w:r>
            <w:r>
              <w:rPr>
                <w:rFonts w:hint="eastAsia" w:ascii="仿宋_GB2312" w:hAnsi="仿宋_GB2312" w:eastAsia="仿宋_GB2312" w:cs="仿宋_GB2312"/>
                <w:spacing w:val="-4"/>
                <w:sz w:val="28"/>
                <w:szCs w:val="28"/>
              </w:rPr>
              <w:t>治理、城乡融合发展等具有积极作用。</w:t>
            </w:r>
          </w:p>
          <w:p w14:paraId="52CE2873">
            <w:pPr>
              <w:keepNext w:val="0"/>
              <w:keepLines w:val="0"/>
              <w:pageBreakBefore w:val="0"/>
              <w:widowControl/>
              <w:kinsoku w:val="0"/>
              <w:wordWrap/>
              <w:overflowPunct/>
              <w:topLinePunct w:val="0"/>
              <w:autoSpaceDE w:val="0"/>
              <w:autoSpaceDN w:val="0"/>
              <w:bidi w:val="0"/>
              <w:adjustRightInd w:val="0"/>
              <w:snapToGrid w:val="0"/>
              <w:spacing w:before="95" w:line="560" w:lineRule="exact"/>
              <w:ind w:left="125" w:right="104" w:hanging="18"/>
              <w:jc w:val="left"/>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  符合绿色低碳节能的可持续发展理念，</w:t>
            </w:r>
            <w:r>
              <w:rPr>
                <w:rFonts w:hint="eastAsia" w:ascii="仿宋_GB2312" w:hAnsi="仿宋_GB2312" w:eastAsia="仿宋_GB2312" w:cs="仿宋_GB2312"/>
                <w:spacing w:val="-37"/>
                <w:sz w:val="28"/>
                <w:szCs w:val="28"/>
              </w:rPr>
              <w:t xml:space="preserve"> </w:t>
            </w:r>
            <w:r>
              <w:rPr>
                <w:rFonts w:hint="eastAsia" w:ascii="仿宋_GB2312" w:hAnsi="仿宋_GB2312" w:eastAsia="仿宋_GB2312" w:cs="仿宋_GB2312"/>
                <w:spacing w:val="3"/>
                <w:sz w:val="28"/>
                <w:szCs w:val="28"/>
              </w:rPr>
              <w:t>有利于改善人民生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活、提升人民生活质量。</w:t>
            </w:r>
          </w:p>
        </w:tc>
        <w:tc>
          <w:tcPr>
            <w:tcW w:w="945" w:type="dxa"/>
            <w:vAlign w:val="top"/>
          </w:tcPr>
          <w:p w14:paraId="3A34B395">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01F5651A">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0D6AD940">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6D76B023">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0852F74A">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40EB2AEA">
            <w:pPr>
              <w:keepNext w:val="0"/>
              <w:keepLines w:val="0"/>
              <w:pageBreakBefore w:val="0"/>
              <w:widowControl/>
              <w:kinsoku w:val="0"/>
              <w:wordWrap/>
              <w:overflowPunct/>
              <w:topLinePunct w:val="0"/>
              <w:autoSpaceDE w:val="0"/>
              <w:autoSpaceDN w:val="0"/>
              <w:bidi w:val="0"/>
              <w:adjustRightInd w:val="0"/>
              <w:snapToGrid w:val="0"/>
              <w:spacing w:before="69" w:line="560" w:lineRule="exact"/>
              <w:ind w:left="210"/>
              <w:jc w:val="left"/>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314D3A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2" w:hRule="atLeast"/>
        </w:trPr>
        <w:tc>
          <w:tcPr>
            <w:tcW w:w="1625" w:type="dxa"/>
            <w:vAlign w:val="top"/>
          </w:tcPr>
          <w:p w14:paraId="68A9F0B2">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4E7F01F3">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3EE459AC">
            <w:pPr>
              <w:keepNext w:val="0"/>
              <w:keepLines w:val="0"/>
              <w:pageBreakBefore w:val="0"/>
              <w:widowControl/>
              <w:kinsoku w:val="0"/>
              <w:wordWrap/>
              <w:overflowPunct/>
              <w:topLinePunct w:val="0"/>
              <w:autoSpaceDE w:val="0"/>
              <w:autoSpaceDN w:val="0"/>
              <w:bidi w:val="0"/>
              <w:adjustRightInd w:val="0"/>
              <w:snapToGrid w:val="0"/>
              <w:spacing w:before="78" w:line="560" w:lineRule="exact"/>
              <w:ind w:left="276" w:right="265" w:firstLine="21"/>
              <w:jc w:val="left"/>
              <w:rPr>
                <w:rFonts w:hint="eastAsia" w:ascii="仿宋_GB2312" w:hAnsi="仿宋_GB2312" w:eastAsia="仿宋_GB2312" w:cs="仿宋_GB2312"/>
                <w:sz w:val="28"/>
                <w:szCs w:val="28"/>
              </w:rPr>
            </w:pPr>
            <w:r>
              <w:rPr>
                <w:rFonts w:hint="eastAsia" w:ascii="仿宋_GB2312" w:hAnsi="仿宋_GB2312" w:eastAsia="仿宋_GB2312" w:cs="仿宋_GB2312"/>
                <w:spacing w:val="-17"/>
                <w:sz w:val="28"/>
                <w:szCs w:val="28"/>
              </w:rPr>
              <w:t>团队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合作</w:t>
            </w:r>
          </w:p>
        </w:tc>
        <w:tc>
          <w:tcPr>
            <w:tcW w:w="6437" w:type="dxa"/>
            <w:vAlign w:val="top"/>
          </w:tcPr>
          <w:p w14:paraId="0D687FDC">
            <w:pPr>
              <w:keepNext w:val="0"/>
              <w:keepLines w:val="0"/>
              <w:pageBreakBefore w:val="0"/>
              <w:widowControl/>
              <w:kinsoku w:val="0"/>
              <w:wordWrap/>
              <w:overflowPunct/>
              <w:topLinePunct w:val="0"/>
              <w:autoSpaceDE w:val="0"/>
              <w:autoSpaceDN w:val="0"/>
              <w:bidi w:val="0"/>
              <w:adjustRightInd w:val="0"/>
              <w:snapToGrid w:val="0"/>
              <w:spacing w:before="123" w:line="560" w:lineRule="exact"/>
              <w:ind w:left="109" w:right="103" w:firstLine="22"/>
              <w:jc w:val="left"/>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w:t>
            </w:r>
            <w:r>
              <w:rPr>
                <w:rFonts w:hint="eastAsia" w:ascii="仿宋_GB2312" w:hAnsi="仿宋_GB2312" w:eastAsia="仿宋_GB2312" w:cs="仿宋_GB2312"/>
                <w:spacing w:val="23"/>
                <w:sz w:val="28"/>
                <w:szCs w:val="28"/>
              </w:rPr>
              <w:t xml:space="preserve">  </w:t>
            </w:r>
            <w:r>
              <w:rPr>
                <w:rFonts w:hint="eastAsia" w:ascii="仿宋_GB2312" w:hAnsi="仿宋_GB2312" w:eastAsia="仿宋_GB2312" w:cs="仿宋_GB2312"/>
                <w:spacing w:val="-5"/>
                <w:sz w:val="28"/>
                <w:szCs w:val="28"/>
              </w:rPr>
              <w:t>团队成员能够准确理解共同目标和任务，清楚自己的角色定</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9"/>
                <w:sz w:val="28"/>
                <w:szCs w:val="28"/>
              </w:rPr>
              <w:t>位和职责。</w:t>
            </w:r>
          </w:p>
          <w:p w14:paraId="363D733F">
            <w:pPr>
              <w:keepNext w:val="0"/>
              <w:keepLines w:val="0"/>
              <w:pageBreakBefore w:val="0"/>
              <w:widowControl/>
              <w:kinsoku w:val="0"/>
              <w:wordWrap/>
              <w:overflowPunct/>
              <w:topLinePunct w:val="0"/>
              <w:autoSpaceDE w:val="0"/>
              <w:autoSpaceDN w:val="0"/>
              <w:bidi w:val="0"/>
              <w:adjustRightInd w:val="0"/>
              <w:snapToGrid w:val="0"/>
              <w:spacing w:before="89" w:line="560" w:lineRule="exact"/>
              <w:ind w:left="109"/>
              <w:jc w:val="left"/>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w:t>
            </w:r>
            <w:r>
              <w:rPr>
                <w:rFonts w:hint="eastAsia" w:ascii="仿宋_GB2312" w:hAnsi="仿宋_GB2312" w:eastAsia="仿宋_GB2312" w:cs="仿宋_GB2312"/>
                <w:spacing w:val="18"/>
                <w:w w:val="101"/>
                <w:sz w:val="28"/>
                <w:szCs w:val="28"/>
              </w:rPr>
              <w:t xml:space="preserve">  </w:t>
            </w:r>
            <w:r>
              <w:rPr>
                <w:rFonts w:hint="eastAsia" w:ascii="仿宋_GB2312" w:hAnsi="仿宋_GB2312" w:eastAsia="仿宋_GB2312" w:cs="仿宋_GB2312"/>
                <w:spacing w:val="-4"/>
                <w:sz w:val="28"/>
                <w:szCs w:val="28"/>
              </w:rPr>
              <w:t>团队成员在比赛中能够有效沟通、紧密协作。</w:t>
            </w:r>
          </w:p>
          <w:p w14:paraId="270C2E27">
            <w:pPr>
              <w:keepNext w:val="0"/>
              <w:keepLines w:val="0"/>
              <w:pageBreakBefore w:val="0"/>
              <w:widowControl/>
              <w:kinsoku w:val="0"/>
              <w:wordWrap/>
              <w:overflowPunct/>
              <w:topLinePunct w:val="0"/>
              <w:autoSpaceDE w:val="0"/>
              <w:autoSpaceDN w:val="0"/>
              <w:bidi w:val="0"/>
              <w:adjustRightInd w:val="0"/>
              <w:snapToGrid w:val="0"/>
              <w:spacing w:before="94" w:line="560" w:lineRule="exact"/>
              <w:ind w:left="113"/>
              <w:jc w:val="left"/>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4"/>
                <w:sz w:val="28"/>
                <w:szCs w:val="28"/>
              </w:rPr>
              <w:t>团队成员能够相互补台，共同应对突发情</w:t>
            </w:r>
            <w:r>
              <w:rPr>
                <w:rFonts w:hint="eastAsia" w:ascii="仿宋_GB2312" w:hAnsi="仿宋_GB2312" w:eastAsia="仿宋_GB2312" w:cs="仿宋_GB2312"/>
                <w:spacing w:val="-5"/>
                <w:sz w:val="28"/>
                <w:szCs w:val="28"/>
              </w:rPr>
              <w:t>况。</w:t>
            </w:r>
          </w:p>
          <w:p w14:paraId="6501A5A6">
            <w:pPr>
              <w:keepNext w:val="0"/>
              <w:keepLines w:val="0"/>
              <w:pageBreakBefore w:val="0"/>
              <w:widowControl/>
              <w:kinsoku w:val="0"/>
              <w:wordWrap/>
              <w:overflowPunct/>
              <w:topLinePunct w:val="0"/>
              <w:autoSpaceDE w:val="0"/>
              <w:autoSpaceDN w:val="0"/>
              <w:bidi w:val="0"/>
              <w:adjustRightInd w:val="0"/>
              <w:snapToGrid w:val="0"/>
              <w:spacing w:before="90" w:line="560" w:lineRule="exact"/>
              <w:ind w:left="107"/>
              <w:jc w:val="left"/>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3"/>
                <w:sz w:val="28"/>
                <w:szCs w:val="28"/>
              </w:rPr>
              <w:t>团队成员相互尊重、信任和支持，拥有良好的团</w:t>
            </w:r>
            <w:r>
              <w:rPr>
                <w:rFonts w:hint="eastAsia" w:ascii="仿宋_GB2312" w:hAnsi="仿宋_GB2312" w:eastAsia="仿宋_GB2312" w:cs="仿宋_GB2312"/>
                <w:spacing w:val="-4"/>
                <w:sz w:val="28"/>
                <w:szCs w:val="28"/>
              </w:rPr>
              <w:t>队氛围。</w:t>
            </w:r>
          </w:p>
        </w:tc>
        <w:tc>
          <w:tcPr>
            <w:tcW w:w="945" w:type="dxa"/>
            <w:vAlign w:val="top"/>
          </w:tcPr>
          <w:p w14:paraId="61ECDDA8">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46D5FBE7">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4C57C021">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7B5684D5">
            <w:pPr>
              <w:keepNext w:val="0"/>
              <w:keepLines w:val="0"/>
              <w:pageBreakBefore w:val="0"/>
              <w:widowControl/>
              <w:kinsoku w:val="0"/>
              <w:wordWrap/>
              <w:overflowPunct/>
              <w:topLinePunct w:val="0"/>
              <w:autoSpaceDE w:val="0"/>
              <w:autoSpaceDN w:val="0"/>
              <w:bidi w:val="0"/>
              <w:adjustRightInd w:val="0"/>
              <w:snapToGrid w:val="0"/>
              <w:spacing w:before="69" w:line="560" w:lineRule="exact"/>
              <w:ind w:left="210"/>
              <w:jc w:val="left"/>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292ED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8" w:hRule="atLeast"/>
        </w:trPr>
        <w:tc>
          <w:tcPr>
            <w:tcW w:w="1625" w:type="dxa"/>
            <w:vAlign w:val="top"/>
          </w:tcPr>
          <w:p w14:paraId="7CE5785E">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31A94B21">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52D670F8">
            <w:pPr>
              <w:keepNext w:val="0"/>
              <w:keepLines w:val="0"/>
              <w:pageBreakBefore w:val="0"/>
              <w:widowControl/>
              <w:kinsoku w:val="0"/>
              <w:wordWrap/>
              <w:overflowPunct/>
              <w:topLinePunct w:val="0"/>
              <w:autoSpaceDE w:val="0"/>
              <w:autoSpaceDN w:val="0"/>
              <w:bidi w:val="0"/>
              <w:adjustRightInd w:val="0"/>
              <w:snapToGrid w:val="0"/>
              <w:spacing w:before="78" w:line="560" w:lineRule="exact"/>
              <w:ind w:left="267" w:right="265"/>
              <w:jc w:val="left"/>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创新</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创意</w:t>
            </w:r>
          </w:p>
        </w:tc>
        <w:tc>
          <w:tcPr>
            <w:tcW w:w="6437" w:type="dxa"/>
            <w:vAlign w:val="top"/>
          </w:tcPr>
          <w:p w14:paraId="747B351F">
            <w:pPr>
              <w:keepNext w:val="0"/>
              <w:keepLines w:val="0"/>
              <w:pageBreakBefore w:val="0"/>
              <w:widowControl/>
              <w:kinsoku w:val="0"/>
              <w:wordWrap/>
              <w:overflowPunct/>
              <w:topLinePunct w:val="0"/>
              <w:autoSpaceDE w:val="0"/>
              <w:autoSpaceDN w:val="0"/>
              <w:bidi w:val="0"/>
              <w:adjustRightInd w:val="0"/>
              <w:snapToGrid w:val="0"/>
              <w:spacing w:before="124" w:line="560" w:lineRule="exact"/>
              <w:ind w:left="132"/>
              <w:jc w:val="left"/>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  体现原始创意、创新。</w:t>
            </w:r>
          </w:p>
          <w:p w14:paraId="60E3C187">
            <w:pPr>
              <w:keepNext w:val="0"/>
              <w:keepLines w:val="0"/>
              <w:pageBreakBefore w:val="0"/>
              <w:widowControl/>
              <w:kinsoku w:val="0"/>
              <w:wordWrap/>
              <w:overflowPunct/>
              <w:topLinePunct w:val="0"/>
              <w:autoSpaceDE w:val="0"/>
              <w:autoSpaceDN w:val="0"/>
              <w:bidi w:val="0"/>
              <w:adjustRightInd w:val="0"/>
              <w:snapToGrid w:val="0"/>
              <w:spacing w:before="89" w:line="560" w:lineRule="exact"/>
              <w:ind w:left="125" w:right="84" w:hanging="16"/>
              <w:jc w:val="left"/>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  体现面向职业和岗位的创意及创新，侧重于加工工艺创新、</w:t>
            </w:r>
            <w:r>
              <w:rPr>
                <w:rFonts w:hint="eastAsia" w:ascii="仿宋_GB2312" w:hAnsi="仿宋_GB2312" w:eastAsia="仿宋_GB2312" w:cs="仿宋_GB2312"/>
                <w:spacing w:val="9"/>
                <w:sz w:val="28"/>
                <w:szCs w:val="28"/>
              </w:rPr>
              <w:t xml:space="preserve"> </w:t>
            </w:r>
            <w:r>
              <w:rPr>
                <w:rFonts w:hint="eastAsia" w:ascii="仿宋_GB2312" w:hAnsi="仿宋_GB2312" w:eastAsia="仿宋_GB2312" w:cs="仿宋_GB2312"/>
                <w:spacing w:val="-1"/>
                <w:sz w:val="28"/>
                <w:szCs w:val="28"/>
              </w:rPr>
              <w:t>实用技术创新、产品（技术）数字化改良、应用性优化、民生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类创意等。</w:t>
            </w:r>
          </w:p>
          <w:p w14:paraId="747CEB7F">
            <w:pPr>
              <w:keepNext w:val="0"/>
              <w:keepLines w:val="0"/>
              <w:pageBreakBefore w:val="0"/>
              <w:widowControl/>
              <w:kinsoku w:val="0"/>
              <w:wordWrap/>
              <w:overflowPunct/>
              <w:topLinePunct w:val="0"/>
              <w:autoSpaceDE w:val="0"/>
              <w:autoSpaceDN w:val="0"/>
              <w:bidi w:val="0"/>
              <w:adjustRightInd w:val="0"/>
              <w:snapToGrid w:val="0"/>
              <w:spacing w:before="89" w:line="560" w:lineRule="exact"/>
              <w:ind w:left="113"/>
              <w:jc w:val="left"/>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  体现团队成员创新精神和创新能力。</w:t>
            </w:r>
          </w:p>
        </w:tc>
        <w:tc>
          <w:tcPr>
            <w:tcW w:w="945" w:type="dxa"/>
            <w:vAlign w:val="top"/>
          </w:tcPr>
          <w:p w14:paraId="448508E0">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7AAB83ED">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557D01AA">
            <w:pPr>
              <w:pStyle w:val="10"/>
              <w:keepNext w:val="0"/>
              <w:keepLines w:val="0"/>
              <w:pageBreakBefore w:val="0"/>
              <w:widowControl/>
              <w:kinsoku w:val="0"/>
              <w:wordWrap/>
              <w:overflowPunct/>
              <w:topLinePunct w:val="0"/>
              <w:autoSpaceDE w:val="0"/>
              <w:autoSpaceDN w:val="0"/>
              <w:bidi w:val="0"/>
              <w:adjustRightInd w:val="0"/>
              <w:snapToGrid w:val="0"/>
              <w:spacing w:line="560" w:lineRule="exact"/>
              <w:jc w:val="left"/>
              <w:rPr>
                <w:rFonts w:hint="eastAsia" w:ascii="仿宋_GB2312" w:hAnsi="仿宋_GB2312" w:eastAsia="仿宋_GB2312" w:cs="仿宋_GB2312"/>
                <w:sz w:val="28"/>
                <w:szCs w:val="28"/>
              </w:rPr>
            </w:pPr>
          </w:p>
          <w:p w14:paraId="5429FC14">
            <w:pPr>
              <w:keepNext w:val="0"/>
              <w:keepLines w:val="0"/>
              <w:pageBreakBefore w:val="0"/>
              <w:widowControl/>
              <w:kinsoku w:val="0"/>
              <w:wordWrap/>
              <w:overflowPunct/>
              <w:topLinePunct w:val="0"/>
              <w:autoSpaceDE w:val="0"/>
              <w:autoSpaceDN w:val="0"/>
              <w:bidi w:val="0"/>
              <w:adjustRightInd w:val="0"/>
              <w:snapToGrid w:val="0"/>
              <w:spacing w:before="69" w:line="560" w:lineRule="exact"/>
              <w:ind w:left="210"/>
              <w:jc w:val="left"/>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bl>
    <w:p w14:paraId="58A7A3D8">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八、技术规范</w:t>
      </w:r>
    </w:p>
    <w:p w14:paraId="2000DF2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主要依据相关国家技能规范和标准，注重考核基本技能，体现标准程序，结合岗位实际，考核职业综合能力，并对技术技能型人才培养起到示范引领作用。</w:t>
      </w:r>
    </w:p>
    <w:p w14:paraId="08E442E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九、</w:t>
      </w:r>
      <w:r>
        <w:rPr>
          <w:rFonts w:hint="eastAsia" w:ascii="仿宋_GB2312" w:hAnsi="仿宋_GB2312" w:eastAsia="仿宋_GB2312" w:cs="仿宋_GB2312"/>
          <w:b/>
          <w:bCs/>
          <w:color w:val="auto"/>
          <w:spacing w:val="2"/>
          <w:sz w:val="28"/>
          <w:szCs w:val="28"/>
          <w:lang w:val="en-US" w:eastAsia="zh-CN"/>
        </w:rPr>
        <w:t>奖项设置</w:t>
      </w:r>
    </w:p>
    <w:p w14:paraId="4AA79CFF">
      <w:pPr>
        <w:keepNext w:val="0"/>
        <w:keepLines w:val="0"/>
        <w:pageBreakBefore w:val="0"/>
        <w:widowControl/>
        <w:kinsoku w:val="0"/>
        <w:wordWrap/>
        <w:overflowPunct/>
        <w:topLinePunct w:val="0"/>
        <w:autoSpaceDE w:val="0"/>
        <w:autoSpaceDN w:val="0"/>
        <w:bidi w:val="0"/>
        <w:adjustRightInd w:val="0"/>
        <w:snapToGrid w:val="0"/>
        <w:spacing w:line="560" w:lineRule="exact"/>
        <w:ind w:left="121" w:firstLine="540" w:firstLineChars="200"/>
        <w:jc w:val="left"/>
        <w:textAlignment w:val="baseline"/>
        <w:outlineLvl w:val="0"/>
        <w:rPr>
          <w:rFonts w:hint="eastAsia" w:ascii="仿宋_GB2312" w:hAnsi="仿宋_GB2312" w:eastAsia="仿宋_GB2312" w:cs="仿宋_GB2312"/>
          <w:color w:val="auto"/>
          <w:spacing w:val="-5"/>
          <w:sz w:val="28"/>
          <w:szCs w:val="28"/>
        </w:rPr>
      </w:pPr>
      <w:r>
        <w:rPr>
          <w:rFonts w:hint="eastAsia" w:ascii="仿宋_GB2312" w:hAnsi="仿宋_GB2312" w:eastAsia="仿宋_GB2312" w:cs="仿宋_GB2312"/>
          <w:color w:val="auto"/>
          <w:spacing w:val="-5"/>
          <w:sz w:val="28"/>
          <w:szCs w:val="28"/>
        </w:rPr>
        <w:t>竞赛设团体奖。一等奖占比10%，二等奖占比20%，三等奖占比30%（小数点后四舍五入）。</w:t>
      </w:r>
    </w:p>
    <w:p w14:paraId="38428343">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0"/>
        <w:rPr>
          <w:rFonts w:hint="eastAsia" w:ascii="仿宋_GB2312" w:hAnsi="仿宋_GB2312" w:eastAsia="仿宋_GB2312" w:cs="仿宋_GB2312"/>
          <w:color w:val="auto"/>
          <w:sz w:val="28"/>
          <w:szCs w:val="28"/>
        </w:rPr>
      </w:pPr>
    </w:p>
    <w:sectPr>
      <w:footerReference r:id="rId5" w:type="default"/>
      <w:pgSz w:w="11906" w:h="16840"/>
      <w:pgMar w:top="1388" w:right="1698" w:bottom="1360" w:left="1785" w:header="0" w:footer="112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18030">
    <w:panose1 w:val="02000000000000000000"/>
    <w:charset w:val="86"/>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84820">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isplayBackgroundShape w:val="1"/>
  <w:bordersDoNotSurroundHeader w:val="0"/>
  <w:bordersDoNotSurroundFooter w:val="0"/>
  <w:attachedTemplate r:id="rId1"/>
  <w:documentProtection w:enforcement="0"/>
  <w:defaultTabStop w:val="50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54210A9D"/>
    <w:rsid w:val="13C45F8F"/>
    <w:rsid w:val="17F5486E"/>
    <w:rsid w:val="1A562397"/>
    <w:rsid w:val="1AD45C03"/>
    <w:rsid w:val="1CF753DD"/>
    <w:rsid w:val="202E2A6B"/>
    <w:rsid w:val="209C4087"/>
    <w:rsid w:val="21985DC8"/>
    <w:rsid w:val="24CC18AA"/>
    <w:rsid w:val="2F8373E0"/>
    <w:rsid w:val="34DA47B3"/>
    <w:rsid w:val="34E46F28"/>
    <w:rsid w:val="34E7026F"/>
    <w:rsid w:val="35046923"/>
    <w:rsid w:val="4152091B"/>
    <w:rsid w:val="41BE78C8"/>
    <w:rsid w:val="41D45D08"/>
    <w:rsid w:val="43853042"/>
    <w:rsid w:val="52D7311E"/>
    <w:rsid w:val="54210A9D"/>
    <w:rsid w:val="57D9439E"/>
    <w:rsid w:val="5C013FFE"/>
    <w:rsid w:val="6011498B"/>
    <w:rsid w:val="62D442F7"/>
    <w:rsid w:val="68DB02F8"/>
    <w:rsid w:val="6C5032B4"/>
    <w:rsid w:val="6C7964CA"/>
    <w:rsid w:val="786F17A7"/>
    <w:rsid w:val="7B943C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仿宋" w:hAnsi="仿宋" w:eastAsia="仿宋" w:cs="仿宋"/>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character" w:customStyle="1" w:styleId="11">
    <w:name w:val="font51"/>
    <w:basedOn w:val="8"/>
    <w:qFormat/>
    <w:uiPriority w:val="0"/>
    <w:rPr>
      <w:rFonts w:ascii="仿宋_GB2312" w:hAns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2532\Desktop\2024&#24180;&#29976;&#32899;&#30465;&#32844;&#19994;&#38498;&#26657;&#23398;&#29983;&#25216;&#33021;&#22823;&#36187;&#31454;&#36187;&#35268;&#31243;-&#39640;&#32844;.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2024年甘肃省职业院校学生技能大赛竞赛规程-高职.wpt</Template>
  <Pages>7</Pages>
  <Words>2704</Words>
  <Characters>2788</Characters>
  <TotalTime>9</TotalTime>
  <ScaleCrop>false</ScaleCrop>
  <LinksUpToDate>false</LinksUpToDate>
  <CharactersWithSpaces>2899</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2023-11-12T05:55:00Z</dcterms:created>
  <dc:creator>何振鲁</dc:creator>
  <cp:lastModifiedBy>左手无名指1398045354</cp:lastModifiedBy>
  <dcterms:modified xsi:type="dcterms:W3CDTF">2024-11-19T03:29:12Z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2023-11-09T17:43:45Z</vt:filetime>
  </property>
  <property fmtid="{D5CDD505-2E9C-101B-9397-08002B2CF9AE}" pid="4" name="KSOProductBuildVer">
    <vt:lpwstr>2052-12.1.0.18608</vt:lpwstr>
  </property>
  <property fmtid="{D5CDD505-2E9C-101B-9397-08002B2CF9AE}" pid="5" name="ICV">
    <vt:lpwstr>CCDE861B29214D12BE587599C4FA31C6_13</vt:lpwstr>
  </property>
</Properties>
</file>